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09E13" w14:textId="77777777" w:rsidR="002B32E9" w:rsidRDefault="002B32E9">
      <w:pPr>
        <w:jc w:val="center"/>
        <w:rPr>
          <w:sz w:val="40"/>
          <w:szCs w:val="40"/>
        </w:rPr>
      </w:pPr>
    </w:p>
    <w:p w14:paraId="30DD1BE4" w14:textId="77777777" w:rsidR="002B32E9" w:rsidRDefault="00000000">
      <w:pPr>
        <w:jc w:val="center"/>
        <w:rPr>
          <w:rFonts w:ascii="Bebas Neue" w:eastAsia="Bebas Neue" w:hAnsi="Bebas Neue" w:cs="Bebas Neue"/>
          <w:b/>
          <w:sz w:val="40"/>
          <w:szCs w:val="40"/>
        </w:rPr>
      </w:pPr>
      <w:r>
        <w:rPr>
          <w:rFonts w:ascii="Bebas Neue" w:eastAsia="Bebas Neue" w:hAnsi="Bebas Neue" w:cs="Bebas Neue"/>
          <w:b/>
          <w:sz w:val="40"/>
          <w:szCs w:val="40"/>
        </w:rPr>
        <w:t xml:space="preserve">2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modulis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. 2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pamoka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.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Straipsnis</w:t>
      </w:r>
      <w:proofErr w:type="spellEnd"/>
    </w:p>
    <w:p w14:paraId="2D83BD44" w14:textId="77777777" w:rsidR="002B32E9" w:rsidRDefault="00000000">
      <w:pPr>
        <w:rPr>
          <w:rFonts w:ascii="Bebas Neue" w:eastAsia="Bebas Neue" w:hAnsi="Bebas Neue" w:cs="Bebas Neue"/>
          <w:b/>
          <w:i/>
          <w:sz w:val="32"/>
          <w:szCs w:val="32"/>
        </w:rPr>
      </w:pP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Perskaitykite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šį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straipsnį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paimtą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iš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tinklalapio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: "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ReachOut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".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Australijos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fondas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teikiantis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nemokamas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internetines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paslaugas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šeimoms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mokykloms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daugiausia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dėmesio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skiriantis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internetui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socialinių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tinklų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daromam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poveikiui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jaunajai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>kartai</w:t>
      </w:r>
      <w:proofErr w:type="spellEnd"/>
      <w:r>
        <w:rPr>
          <w:rFonts w:ascii="Bebas Neue" w:eastAsia="Bebas Neue" w:hAnsi="Bebas Neue" w:cs="Bebas Neue"/>
          <w:b/>
          <w:i/>
          <w:color w:val="0070C0"/>
          <w:sz w:val="32"/>
          <w:szCs w:val="32"/>
        </w:rPr>
        <w:t xml:space="preserve">. </w:t>
      </w:r>
    </w:p>
    <w:p w14:paraId="32009F76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r>
        <w:rPr>
          <w:rFonts w:ascii="Helvetica Neue" w:eastAsia="Helvetica Neue" w:hAnsi="Helvetica Neue" w:cs="Helvetica Neue"/>
          <w:color w:val="333333"/>
          <w:sz w:val="24"/>
          <w:szCs w:val="24"/>
        </w:rPr>
        <w:t>„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Internetas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suteikia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jauniems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daugybę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privalumų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galimybių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įvairiais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būdais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įgalinti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save.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palaikyti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ryšius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kitu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atveju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neįmanomi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gauti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daugiau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informacijos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nei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bet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anksčiau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Bendruomenės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ryšiai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kuriuos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jaunimas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užmezga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internete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neįkainojami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stiprinant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ugdant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pasitikėjimą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savimi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proofErr w:type="gram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įgūdžius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.“</w:t>
      </w:r>
      <w:proofErr w:type="gramEnd"/>
    </w:p>
    <w:p w14:paraId="5CF24FD3" w14:textId="77777777" w:rsidR="002B32E9" w:rsidRDefault="00000000">
      <w:pPr>
        <w:pStyle w:val="Heading2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Taip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galėsite</w:t>
      </w:r>
      <w:proofErr w:type="spellEnd"/>
      <w:r>
        <w:rPr>
          <w:rFonts w:ascii="Helvetica Neue" w:eastAsia="Helvetica Neue" w:hAnsi="Helvetica Neue" w:cs="Helvetica Neue"/>
          <w:color w:val="333333"/>
        </w:rPr>
        <w:t>:</w:t>
      </w:r>
    </w:p>
    <w:p w14:paraId="56ED4950" w14:textId="77777777" w:rsidR="002B32E9" w:rsidRDefault="00000000">
      <w:pPr>
        <w:numPr>
          <w:ilvl w:val="0"/>
          <w:numId w:val="2"/>
        </w:numPr>
        <w:spacing w:after="0" w:line="240" w:lineRule="auto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suprasti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kai </w:t>
      </w:r>
      <w:proofErr w:type="spellStart"/>
      <w:r>
        <w:rPr>
          <w:rFonts w:ascii="Helvetica Neue" w:eastAsia="Helvetica Neue" w:hAnsi="Helvetica Neue" w:cs="Helvetica Neue"/>
          <w:color w:val="333333"/>
        </w:rPr>
        <w:t>kuriuos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interneto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privalumus</w:t>
      </w:r>
      <w:proofErr w:type="spellEnd"/>
      <w:r>
        <w:rPr>
          <w:rFonts w:ascii="Helvetica Neue" w:eastAsia="Helvetica Neue" w:hAnsi="Helvetica Neue" w:cs="Helvetica Neue"/>
          <w:color w:val="333333"/>
        </w:rPr>
        <w:t>.</w:t>
      </w:r>
    </w:p>
    <w:p w14:paraId="68225EF9" w14:textId="77777777" w:rsidR="002B32E9" w:rsidRDefault="00000000">
      <w:pPr>
        <w:numPr>
          <w:ilvl w:val="0"/>
          <w:numId w:val="2"/>
        </w:numPr>
        <w:spacing w:after="0" w:line="240" w:lineRule="auto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suprasti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</w:rPr>
        <w:t>kodėl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technologijos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yra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tokios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patrauklios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jaunimui</w:t>
      </w:r>
      <w:proofErr w:type="spellEnd"/>
    </w:p>
    <w:p w14:paraId="09A2594B" w14:textId="77777777" w:rsidR="002B32E9" w:rsidRDefault="00000000">
      <w:pPr>
        <w:numPr>
          <w:ilvl w:val="0"/>
          <w:numId w:val="2"/>
        </w:numPr>
        <w:spacing w:after="0" w:line="240" w:lineRule="auto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suprasti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teigiamus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interneto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erdvių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naudojimo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būdus</w:t>
      </w:r>
      <w:proofErr w:type="spellEnd"/>
      <w:r>
        <w:rPr>
          <w:rFonts w:ascii="Helvetica Neue" w:eastAsia="Helvetica Neue" w:hAnsi="Helvetica Neue" w:cs="Helvetica Neue"/>
          <w:color w:val="333333"/>
        </w:rPr>
        <w:t>.</w:t>
      </w:r>
    </w:p>
    <w:p w14:paraId="344835C3" w14:textId="77777777" w:rsidR="002B32E9" w:rsidRDefault="00000000">
      <w:pPr>
        <w:numPr>
          <w:ilvl w:val="0"/>
          <w:numId w:val="2"/>
        </w:numPr>
        <w:spacing w:after="0" w:line="240" w:lineRule="auto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pasikalbėti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jaunais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žmonėmis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apie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tai, </w:t>
      </w:r>
      <w:proofErr w:type="spellStart"/>
      <w:r>
        <w:rPr>
          <w:rFonts w:ascii="Helvetica Neue" w:eastAsia="Helvetica Neue" w:hAnsi="Helvetica Neue" w:cs="Helvetica Neue"/>
          <w:color w:val="333333"/>
        </w:rPr>
        <w:t>kam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jie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naudoja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technologijas</w:t>
      </w:r>
      <w:proofErr w:type="spellEnd"/>
      <w:r>
        <w:rPr>
          <w:rFonts w:ascii="Helvetica Neue" w:eastAsia="Helvetica Neue" w:hAnsi="Helvetica Neue" w:cs="Helvetica Neue"/>
          <w:color w:val="333333"/>
        </w:rPr>
        <w:t>.</w:t>
      </w:r>
    </w:p>
    <w:p w14:paraId="5143576D" w14:textId="77777777" w:rsidR="002B32E9" w:rsidRDefault="002B32E9">
      <w:pPr>
        <w:spacing w:after="0" w:line="240" w:lineRule="auto"/>
        <w:ind w:left="720"/>
        <w:rPr>
          <w:rFonts w:ascii="Helvetica Neue" w:eastAsia="Helvetica Neue" w:hAnsi="Helvetica Neue" w:cs="Helvetica Neue"/>
          <w:color w:val="333333"/>
        </w:rPr>
      </w:pPr>
    </w:p>
    <w:p w14:paraId="1F7DC56B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Naudojimasis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tokiais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"Facebook", "Twitter", "Instagram"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"Snapchat",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tapo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neatsiejama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australų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kasdienio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gyvenimo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dalimi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Nors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daugeliui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asocijuojasi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socializavimosi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bendravimo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įgūdžių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nykimu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Kooperatyvaus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tyrimų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centro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"Young and Well"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paskelbtoje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literatūros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apžvalgoje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teigiama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iš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tikrųjų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atlieka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labai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svarbų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vaidmenį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gyvenime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-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padeda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siekti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ugdymo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rezultatų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palengvina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santykių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kūrimą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formuoja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tapatybę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skatina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priklausymo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savigarbos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jausmą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</w:p>
    <w:p w14:paraId="370B6506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Bendradarbiaudami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užfiksavome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kai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kuriuos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teigiamus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interneto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privalumus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jaunimui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4B2F7823" w14:textId="77777777" w:rsidR="002B32E9" w:rsidRDefault="002B3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</w:p>
    <w:p w14:paraId="7720B233" w14:textId="77777777" w:rsidR="002B32E9" w:rsidRDefault="00000000">
      <w:pPr>
        <w:pStyle w:val="Heading2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Jaunimas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- </w:t>
      </w:r>
      <w:proofErr w:type="spellStart"/>
      <w:r>
        <w:rPr>
          <w:rFonts w:ascii="Helvetica Neue" w:eastAsia="Helvetica Neue" w:hAnsi="Helvetica Neue" w:cs="Helvetica Neue"/>
          <w:color w:val="333333"/>
        </w:rPr>
        <w:t>socialiniai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dalyviai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aktyvūs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piliečiai</w:t>
      </w:r>
      <w:proofErr w:type="spellEnd"/>
    </w:p>
    <w:p w14:paraId="3C61466A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prieinamas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veiksmingas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įrankis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padedantis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atkreipti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dėmesį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į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jaunimui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aktualius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jį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dominančius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klausimus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galima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organizuojant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veiklas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renginius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grupes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galima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pristatyti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problemas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nuomones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supažindinti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platesnę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auditoriją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Pvz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koordinuojant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grupių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veiklą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lėšų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rinkimo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akcijas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didinant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informuotumą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apie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įvairias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priežastis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7AD71BF5" w14:textId="77777777" w:rsidR="002B32E9" w:rsidRDefault="00000000">
      <w:pPr>
        <w:pStyle w:val="Heading2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lastRenderedPageBreak/>
        <w:t>Jaunų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žmonių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nuomonės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išreiškimas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pasitikėjimo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stiprinimas</w:t>
      </w:r>
      <w:proofErr w:type="spellEnd"/>
    </w:p>
    <w:p w14:paraId="295882D6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galima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tobulinant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debatų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diskusijų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įgūdžius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Tai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padeda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naudotojams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išsiugdyti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viešus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savęs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pristatymo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būdus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Šiame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kontekste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labai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svarbūs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asmeniniai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įgūdžiai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: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užmegzti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plėtoti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išlaikyti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draugystę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laikomam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patikimu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viešojoje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erdvėje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suteikti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jauniems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galimybę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išmokti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sėkmingai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veikti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bendruomenėje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orientuotis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viešoje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socialinėje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erdvėje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ugdyti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socialines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normas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įgūdžius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bendraamžių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grupių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dalyviams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43A016E5" w14:textId="77777777" w:rsidR="002B32E9" w:rsidRDefault="00000000">
      <w:pPr>
        <w:pStyle w:val="Heading2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Jauni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žmonės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- </w:t>
      </w:r>
      <w:proofErr w:type="spellStart"/>
      <w:r>
        <w:rPr>
          <w:rFonts w:ascii="Helvetica Neue" w:eastAsia="Helvetica Neue" w:hAnsi="Helvetica Neue" w:cs="Helvetica Neue"/>
          <w:color w:val="333333"/>
        </w:rPr>
        <w:t>turinio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kūrėjai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</w:rPr>
        <w:t>valdytojai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platintojai</w:t>
      </w:r>
      <w:proofErr w:type="spellEnd"/>
    </w:p>
    <w:p w14:paraId="6F9B3025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grindžiamos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aktyviu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dalyvavimu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: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naudotojai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dalyvauja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svetainės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veiklose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diskusijose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įkelia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keičia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arba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kuria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turinį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Tai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skatina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kūrybiškumą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diskutuoti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apie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turinio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nuosavybę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duomenų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valdymą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2F92FD4B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Jaunuoliai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naudojasi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norėdami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pristatyti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turinį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-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muziką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filmus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fotografiją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rašymą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-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turi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žinoti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kokius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leidimus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suteikia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priimančiajai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galėtų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priimti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pagrįstus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sprendimus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dėl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to,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talpina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svetainėje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350BF7D8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Naudotojai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pat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norėti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išnagrinėti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papildomas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licencijavimo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galimybes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kurios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jiems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prieinamos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pavyzdžiui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"Creative Commons"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licencijavimas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galėtų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įvairiais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būdais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dalintis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savo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darbais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kitais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272FEBE4" w14:textId="77777777" w:rsidR="002B32E9" w:rsidRDefault="00000000">
      <w:pPr>
        <w:pStyle w:val="Heading2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Jaunimas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kaip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bendradarbiai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komandos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nariai</w:t>
      </w:r>
      <w:proofErr w:type="spellEnd"/>
    </w:p>
    <w:p w14:paraId="74795C2C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skirti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naudotojams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dirbti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mąstyti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veikti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kartu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Jie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pat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reikalauja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klausymosi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kompromisų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ieškojimo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įgūdžių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Jaunuoliams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tekti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prašyti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kitų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pagalbos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patarimo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naudojantis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arba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suprasti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platformos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veikia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stebint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kitus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ypač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sudėtingose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žaidimų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virtualiose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aplinkose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Kai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naudotojai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pasitikėjimą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nauja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aplinka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pat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patirties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galėtų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kitiems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6ED1F5B9" w14:textId="77777777" w:rsidR="002B32E9" w:rsidRDefault="00000000">
      <w:pPr>
        <w:pStyle w:val="Heading2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t>Jauni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žmonės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- </w:t>
      </w:r>
      <w:proofErr w:type="spellStart"/>
      <w:r>
        <w:rPr>
          <w:rFonts w:ascii="Helvetica Neue" w:eastAsia="Helvetica Neue" w:hAnsi="Helvetica Neue" w:cs="Helvetica Neue"/>
          <w:color w:val="333333"/>
        </w:rPr>
        <w:t>tyrinėtojai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besimokantieji</w:t>
      </w:r>
      <w:proofErr w:type="spellEnd"/>
    </w:p>
    <w:p w14:paraId="07CCB039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skatina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atrasti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Jei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kas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nors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domisi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tam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tikromis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knygomis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grupėmis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receptais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idėjomis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tikėtina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susidomėjimą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patenkins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!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Jei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naudotojai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ieško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ko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nors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konkretesnio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neįprasto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savo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grupes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socialiniuose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tinkluose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Šios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jauniems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plėtoti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savo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pomėgius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susirasti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kitų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turinčių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tokių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pačių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interesų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Medijos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jauniems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susipažinti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naujais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dalykais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idėjomis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pagilinti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turimų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interesų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suvokimą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Jos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pat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praplėsti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naudotojų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akiratį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padėdamos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jiems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sužinoti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gyvena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mąsto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kiti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visose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pasaulio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dalyse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5291317B" w14:textId="77777777" w:rsidR="002B32E9" w:rsidRDefault="00000000">
      <w:pPr>
        <w:pStyle w:val="Heading2"/>
        <w:rPr>
          <w:rFonts w:ascii="Helvetica Neue" w:eastAsia="Helvetica Neue" w:hAnsi="Helvetica Neue" w:cs="Helvetica Neue"/>
          <w:color w:val="333333"/>
        </w:rPr>
      </w:pPr>
      <w:proofErr w:type="spellStart"/>
      <w:r>
        <w:rPr>
          <w:rFonts w:ascii="Helvetica Neue" w:eastAsia="Helvetica Neue" w:hAnsi="Helvetica Neue" w:cs="Helvetica Neue"/>
          <w:color w:val="333333"/>
        </w:rPr>
        <w:lastRenderedPageBreak/>
        <w:t>Jaunimo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savarankiškumo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atsparumo</w:t>
      </w:r>
      <w:proofErr w:type="spellEnd"/>
      <w:r>
        <w:rPr>
          <w:rFonts w:ascii="Helvetica Neue" w:eastAsia="Helvetica Neue" w:hAnsi="Helvetica Neue" w:cs="Helvetica Neue"/>
          <w:color w:val="333333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</w:rPr>
        <w:t>ugdymas</w:t>
      </w:r>
      <w:proofErr w:type="spellEnd"/>
    </w:p>
    <w:p w14:paraId="27240D0F" w14:textId="77777777" w:rsidR="002B32E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Interneto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erdvė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yra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socialinė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erdvė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o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tinklų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paslaugos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suteikia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panašias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galimybes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„</w:t>
      </w:r>
      <w:proofErr w:type="spellStart"/>
      <w:proofErr w:type="gram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gyvenimiška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“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socialinė</w:t>
      </w:r>
      <w:proofErr w:type="spellEnd"/>
      <w:proofErr w:type="gram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erdvė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: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vietos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kuriose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žmonės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draugais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arba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tyrinėti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vieni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ugdyti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savarankiškumą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įgūdžius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reikalingus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atpažinti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valdyti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riziką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mokytis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spręsti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vertinti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situacijas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bei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veiksmingai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elgtis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pasaulyje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kuris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kartais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būti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pavojingas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priešiškas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Tačiau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tokių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įgūdžių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negalima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išsiugdyti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tik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atskirai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ir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yra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didesnė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tikimybė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jie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bus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išugdyti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jei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bus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naudojami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parama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Pirmą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kartą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jaunam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žmogui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vienam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apsilankius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socialiniame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tinkle, tai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galima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palyginti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pirmąja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savarankiška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jaunuolio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kelione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į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miesto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centrą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todėl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svarbu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kad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jaunas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žmogus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žinotų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kaip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išlikti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saugiam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šioje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naujoje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aplinkoje</w:t>
      </w:r>
      <w:proofErr w:type="spellEnd"/>
      <w:r>
        <w:rPr>
          <w:rFonts w:ascii="Helvetica Neue" w:eastAsia="Helvetica Neue" w:hAnsi="Helvetica Neue" w:cs="Helvetica Neue"/>
          <w:color w:val="333333"/>
          <w:sz w:val="24"/>
          <w:szCs w:val="24"/>
        </w:rPr>
        <w:t>.</w:t>
      </w:r>
    </w:p>
    <w:p w14:paraId="2D15B5F8" w14:textId="77777777" w:rsidR="002B32E9" w:rsidRDefault="002B3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Helvetica Neue" w:eastAsia="Helvetica Neue" w:hAnsi="Helvetica Neue" w:cs="Helvetica Neue"/>
          <w:color w:val="333333"/>
          <w:sz w:val="24"/>
          <w:szCs w:val="24"/>
        </w:rPr>
      </w:pPr>
    </w:p>
    <w:p w14:paraId="34F2A371" w14:textId="77777777" w:rsidR="002B32E9" w:rsidRDefault="00000000">
      <w:proofErr w:type="spellStart"/>
      <w:r>
        <w:t>Šaltinis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: </w:t>
      </w:r>
      <w:hyperlink r:id="rId8">
        <w:r>
          <w:rPr>
            <w:color w:val="0000FF"/>
            <w:u w:val="single"/>
          </w:rPr>
          <w:t>https://schools.au.reachout.com/articles/benefits-of-internet-and-social-media</w:t>
        </w:r>
      </w:hyperlink>
      <w:r>
        <w:t>.</w:t>
      </w:r>
    </w:p>
    <w:p w14:paraId="5B74F04E" w14:textId="77777777" w:rsidR="002B32E9" w:rsidRDefault="002B32E9"/>
    <w:p w14:paraId="3033BA67" w14:textId="77777777" w:rsidR="002B32E9" w:rsidRDefault="00000000">
      <w:proofErr w:type="spellStart"/>
      <w:r>
        <w:t>Pakalbėkime</w:t>
      </w:r>
      <w:proofErr w:type="spellEnd"/>
      <w:r>
        <w:t>:</w:t>
      </w:r>
    </w:p>
    <w:p w14:paraId="4B82C1A2" w14:textId="77777777" w:rsidR="002B32E9" w:rsidRDefault="00000000">
      <w:pPr>
        <w:numPr>
          <w:ilvl w:val="0"/>
          <w:numId w:val="1"/>
        </w:numPr>
      </w:pPr>
      <w:r>
        <w:rPr>
          <w:b/>
        </w:rPr>
        <w:t>KAIP MANOTE, KOKIUS DIDŽIAUSIUS POKYČIUS VISUOMENĖJE SUKĖLĖ SOCIALINIAI TINKLAI?</w:t>
      </w:r>
    </w:p>
    <w:p w14:paraId="724B30E0" w14:textId="77777777" w:rsidR="002B32E9" w:rsidRDefault="00000000">
      <w:pPr>
        <w:numPr>
          <w:ilvl w:val="0"/>
          <w:numId w:val="1"/>
        </w:numPr>
      </w:pPr>
      <w:r>
        <w:rPr>
          <w:b/>
        </w:rPr>
        <w:t xml:space="preserve">KAIP MANOTE, KODĖL SOCIALINIAI TINKLAI TAPO TOKIE POPULIARŪS? </w:t>
      </w:r>
    </w:p>
    <w:p w14:paraId="499EF716" w14:textId="77777777" w:rsidR="002B32E9" w:rsidRDefault="00000000">
      <w:pPr>
        <w:numPr>
          <w:ilvl w:val="0"/>
          <w:numId w:val="1"/>
        </w:numPr>
      </w:pPr>
      <w:r>
        <w:rPr>
          <w:b/>
        </w:rPr>
        <w:t>KOKIAIS BŪDAIS SOCIALINIAI TINKLAI PAGERINO MŪSŲ GYVENIMUS?</w:t>
      </w:r>
    </w:p>
    <w:p w14:paraId="7279EE9E" w14:textId="77777777" w:rsidR="002B32E9" w:rsidRDefault="00000000">
      <w:pPr>
        <w:numPr>
          <w:ilvl w:val="0"/>
          <w:numId w:val="1"/>
        </w:numPr>
      </w:pPr>
      <w:r>
        <w:rPr>
          <w:b/>
        </w:rPr>
        <w:t>KOKIOS ŠIO STRAIPSNIO DALYS, JŪSŲ NUOMONE, YRA ĮDOMIAUSIOS? KODĖL?</w:t>
      </w:r>
    </w:p>
    <w:p w14:paraId="4AC40541" w14:textId="77777777" w:rsidR="002B32E9" w:rsidRDefault="00000000">
      <w:pPr>
        <w:numPr>
          <w:ilvl w:val="0"/>
          <w:numId w:val="1"/>
        </w:numPr>
      </w:pPr>
      <w:r>
        <w:rPr>
          <w:b/>
        </w:rPr>
        <w:t>KURIE ŠIO STRAIPSNIO PUNKTAI, JŪSŲ NUOMONE, YRA NETINKAMI / NETEISINGI? KODĖL?</w:t>
      </w:r>
    </w:p>
    <w:p w14:paraId="5D0A7124" w14:textId="77777777" w:rsidR="002B32E9" w:rsidRDefault="002B32E9"/>
    <w:sectPr w:rsidR="002B32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B7E33" w14:textId="77777777" w:rsidR="005A6B60" w:rsidRDefault="005A6B60">
      <w:pPr>
        <w:spacing w:after="0" w:line="240" w:lineRule="auto"/>
      </w:pPr>
      <w:r>
        <w:separator/>
      </w:r>
    </w:p>
  </w:endnote>
  <w:endnote w:type="continuationSeparator" w:id="0">
    <w:p w14:paraId="7A75DF11" w14:textId="77777777" w:rsidR="005A6B60" w:rsidRDefault="005A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  <w:font w:name="Helvetica Neue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F136" w14:textId="77777777" w:rsidR="00211A59" w:rsidRDefault="00211A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4C61" w14:textId="77777777" w:rsidR="002B32E9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23D5E322" w14:textId="77777777" w:rsidR="002B32E9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5F77442D" w14:textId="77777777" w:rsidR="002B32E9" w:rsidRDefault="00000000">
    <w:pPr>
      <w:widowControl w:val="0"/>
      <w:spacing w:after="0" w:line="240" w:lineRule="auto"/>
      <w:jc w:val="center"/>
      <w:rPr>
        <w:color w:val="888888"/>
        <w:sz w:val="24"/>
        <w:szCs w:val="24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  <w:p w14:paraId="7D7F4E5B" w14:textId="77777777" w:rsidR="002B32E9" w:rsidRDefault="002B32E9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04EF7" w14:textId="77777777" w:rsidR="00211A59" w:rsidRDefault="00211A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5890B" w14:textId="77777777" w:rsidR="005A6B60" w:rsidRDefault="005A6B60">
      <w:pPr>
        <w:spacing w:after="0" w:line="240" w:lineRule="auto"/>
      </w:pPr>
      <w:r>
        <w:separator/>
      </w:r>
    </w:p>
  </w:footnote>
  <w:footnote w:type="continuationSeparator" w:id="0">
    <w:p w14:paraId="3758EA2F" w14:textId="77777777" w:rsidR="005A6B60" w:rsidRDefault="005A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F424" w14:textId="77777777" w:rsidR="00211A59" w:rsidRDefault="00211A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ECD3" w14:textId="7BAE36B8" w:rsidR="002B32E9" w:rsidRDefault="00211A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7F111704" wp14:editId="09B34208">
          <wp:simplePos x="0" y="0"/>
          <wp:positionH relativeFrom="column">
            <wp:posOffset>4114165</wp:posOffset>
          </wp:positionH>
          <wp:positionV relativeFrom="paragraph">
            <wp:posOffset>-15240</wp:posOffset>
          </wp:positionV>
          <wp:extent cx="2052955" cy="445770"/>
          <wp:effectExtent l="0" t="0" r="0" b="0"/>
          <wp:wrapNone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8672E4A" wp14:editId="1967A17B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b="0" l="0" r="0" t="0"/>
              <wp:wrapNone/>
              <wp:docPr id="1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991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37AAA1EF" wp14:editId="657633BE">
          <wp:simplePos x="0" y="0"/>
          <wp:positionH relativeFrom="column">
            <wp:posOffset>-632</wp:posOffset>
          </wp:positionH>
          <wp:positionV relativeFrom="paragraph">
            <wp:posOffset>-60956</wp:posOffset>
          </wp:positionV>
          <wp:extent cx="495300" cy="495300"/>
          <wp:effectExtent l="0" t="0" r="0" b="0"/>
          <wp:wrapNone/>
          <wp:docPr id="1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CE3176B" w14:textId="77777777" w:rsidR="002B32E9" w:rsidRDefault="002B32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69CD" w14:textId="77777777" w:rsidR="00211A59" w:rsidRDefault="00211A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4E7"/>
    <w:multiLevelType w:val="multilevel"/>
    <w:tmpl w:val="D7D6A408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48BF039B"/>
    <w:multiLevelType w:val="multilevel"/>
    <w:tmpl w:val="FF7E32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936016007">
    <w:abstractNumId w:val="0"/>
  </w:num>
  <w:num w:numId="2" w16cid:durableId="107312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2E9"/>
    <w:rsid w:val="00211A59"/>
    <w:rsid w:val="002B32E9"/>
    <w:rsid w:val="005A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DBF55F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3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DefaultParagraphFont"/>
    <w:rsid w:val="00234D77"/>
  </w:style>
  <w:style w:type="character" w:styleId="Hyperlink">
    <w:name w:val="Hyperlink"/>
    <w:basedOn w:val="DefaultParagraphFont"/>
    <w:uiPriority w:val="99"/>
    <w:unhideWhenUsed/>
    <w:rsid w:val="00234D7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4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au.reachout.com/articles/benefits-of-internet-and-social-medi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+KrOJzhJYHmEzPoCrvCf3Ysj/g==">AMUW2mUrgPWGGMDaOm9VwaJ/g5V4CaAtZsY1z/+z0ehE29Vcj2gLIoTU7MXArNoplDsw/FaUGc1xKR66cPPUP1G48Qtp05UA26CX/y2DvWsURCaYG5bzaqI=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2021-07-08T09:21:00Z</dcterms:created>
  <dcterms:modified xsi:type="dcterms:W3CDTF">2023-03-17T14:38:00Z</dcterms:modified>
</cp:coreProperties>
</file>