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6F2A9" w14:textId="77777777" w:rsidR="002656B5" w:rsidRDefault="00000000">
      <w:pPr>
        <w:pStyle w:val="Heading1"/>
        <w:numPr>
          <w:ilvl w:val="2"/>
          <w:numId w:val="2"/>
        </w:numPr>
        <w:tabs>
          <w:tab w:val="left" w:pos="1341"/>
        </w:tabs>
        <w:jc w:val="center"/>
        <w:rPr>
          <w:rFonts w:ascii="Calibri" w:eastAsia="Calibri" w:hAnsi="Calibri" w:cs="Calibri"/>
          <w:b/>
          <w:sz w:val="40"/>
          <w:szCs w:val="40"/>
        </w:rPr>
      </w:pPr>
      <w:r>
        <w:rPr>
          <w:rFonts w:ascii="Calibri" w:eastAsia="Calibri" w:hAnsi="Calibri" w:cs="Calibri"/>
          <w:b/>
          <w:sz w:val="40"/>
          <w:szCs w:val="40"/>
        </w:rPr>
        <w:t>priedas. Mokytojo vadovas. Veiklos planas</w:t>
      </w:r>
    </w:p>
    <w:p w14:paraId="05E811FE" w14:textId="77777777" w:rsidR="002656B5" w:rsidRDefault="002656B5">
      <w:pPr>
        <w:spacing w:before="4"/>
        <w:jc w:val="center"/>
        <w:rPr>
          <w:b/>
          <w:sz w:val="16"/>
          <w:szCs w:val="16"/>
        </w:rPr>
      </w:pPr>
    </w:p>
    <w:p w14:paraId="3306F386" w14:textId="77777777" w:rsidR="002656B5" w:rsidRDefault="00000000">
      <w:pPr>
        <w:spacing w:line="276" w:lineRule="auto"/>
        <w:ind w:left="2979" w:hanging="2979"/>
        <w:jc w:val="center"/>
        <w:rPr>
          <w:b/>
        </w:rPr>
      </w:pPr>
      <w:r>
        <w:rPr>
          <w:b/>
          <w:color w:val="31839A"/>
        </w:rPr>
        <w:t>Čia rasite išsamią informaciją apie kiekvieną skaidrę (skaidres žr. 3.5.1.A priede "Praktinė informacija ir išvados"):</w:t>
      </w:r>
    </w:p>
    <w:p w14:paraId="2CB922A3" w14:textId="77777777" w:rsidR="002656B5" w:rsidRDefault="002656B5">
      <w:pPr>
        <w:rPr>
          <w:b/>
          <w:sz w:val="16"/>
          <w:szCs w:val="16"/>
        </w:rPr>
      </w:pPr>
    </w:p>
    <w:p w14:paraId="5572A194" w14:textId="77777777" w:rsidR="002656B5" w:rsidRDefault="00000000">
      <w:pPr>
        <w:numPr>
          <w:ilvl w:val="0"/>
          <w:numId w:val="1"/>
        </w:numPr>
        <w:pBdr>
          <w:top w:val="nil"/>
          <w:left w:val="nil"/>
          <w:bottom w:val="nil"/>
          <w:right w:val="nil"/>
          <w:between w:val="nil"/>
        </w:pBdr>
        <w:tabs>
          <w:tab w:val="left" w:pos="820"/>
        </w:tabs>
        <w:ind w:left="0"/>
        <w:jc w:val="both"/>
      </w:pPr>
      <w:r>
        <w:rPr>
          <w:b/>
          <w:color w:val="000000"/>
        </w:rPr>
        <w:t xml:space="preserve">Įvadas į modulį. </w:t>
      </w:r>
      <w:r>
        <w:rPr>
          <w:color w:val="000000"/>
        </w:rPr>
        <w:t>Mokytojas / vedantysis pristato šio modulio tikslus (2 skaidrė).</w:t>
      </w:r>
    </w:p>
    <w:p w14:paraId="29AD86DB" w14:textId="77777777" w:rsidR="002656B5" w:rsidRDefault="00000000">
      <w:pPr>
        <w:ind w:firstLine="49"/>
        <w:jc w:val="both"/>
        <w:rPr>
          <w:i/>
        </w:rPr>
      </w:pPr>
      <w:r>
        <w:rPr>
          <w:b/>
          <w:i/>
        </w:rPr>
        <w:t xml:space="preserve">Pastaba. </w:t>
      </w:r>
      <w:r>
        <w:rPr>
          <w:i/>
        </w:rPr>
        <w:t>Ši tema yra labai subtili ir gali būti nepatogi vaikams. Dėl šios priežasties šiam moduliui reikalinga palaikanti ir grėsmės nekelianti aplinka. Tokios situacijos, su kuriomis bus supažindinama, deja, yra didžiulė vaikų gyvenimo dalis. Taigi, padėkite jiems jomis orientuotis, išvengti ir tvarkytis su iššūkiais!</w:t>
      </w:r>
    </w:p>
    <w:p w14:paraId="011B3C1B" w14:textId="77777777" w:rsidR="002656B5" w:rsidRDefault="002656B5">
      <w:pPr>
        <w:jc w:val="both"/>
        <w:rPr>
          <w:i/>
        </w:rPr>
      </w:pPr>
    </w:p>
    <w:p w14:paraId="0CDD824C" w14:textId="77777777" w:rsidR="002656B5" w:rsidRDefault="00000000">
      <w:pPr>
        <w:numPr>
          <w:ilvl w:val="0"/>
          <w:numId w:val="1"/>
        </w:numPr>
        <w:pBdr>
          <w:top w:val="nil"/>
          <w:left w:val="nil"/>
          <w:bottom w:val="nil"/>
          <w:right w:val="nil"/>
          <w:between w:val="nil"/>
        </w:pBdr>
        <w:tabs>
          <w:tab w:val="left" w:pos="820"/>
        </w:tabs>
        <w:spacing w:line="276" w:lineRule="auto"/>
        <w:ind w:left="0"/>
        <w:jc w:val="both"/>
      </w:pPr>
      <w:r>
        <w:rPr>
          <w:b/>
          <w:color w:val="000000"/>
        </w:rPr>
        <w:t xml:space="preserve">Mokytojas / vedantysis parodo vaizdo įrašą: </w:t>
      </w:r>
      <w:r>
        <w:rPr>
          <w:color w:val="1154CC"/>
          <w:u w:val="single"/>
        </w:rPr>
        <w:t>Euforija. Demonstration 2.mp4</w:t>
      </w:r>
      <w:r>
        <w:rPr>
          <w:color w:val="000000"/>
          <w:vertAlign w:val="superscript"/>
        </w:rPr>
        <w:t>1</w:t>
      </w:r>
      <w:r>
        <w:rPr>
          <w:color w:val="000000"/>
        </w:rPr>
        <w:t xml:space="preserve"> (žr. 3.5.1.2 priedą Euforija. Rodymas 2) (3 skaidrė). Žiūrėdami trumpą klipą vaikai gali stebėti ir suprasti įvairias savo ar kitų skleidžiamas emocijas. Be to, jis gali padėti įsivaizduoti, kaip galima elgtis prieš siunčiant nuotrauką ir po to.</w:t>
      </w:r>
    </w:p>
    <w:p w14:paraId="28DC50B7" w14:textId="77777777" w:rsidR="002656B5" w:rsidRDefault="00000000">
      <w:pPr>
        <w:jc w:val="both"/>
      </w:pPr>
      <w:r>
        <w:t>Leiskite besimokantiesiems pasidalyti mintimis apie šiuos klausimus:</w:t>
      </w:r>
    </w:p>
    <w:p w14:paraId="271136D0" w14:textId="77777777" w:rsidR="002656B5" w:rsidRDefault="00000000">
      <w:pPr>
        <w:numPr>
          <w:ilvl w:val="1"/>
          <w:numId w:val="1"/>
        </w:numPr>
        <w:pBdr>
          <w:top w:val="nil"/>
          <w:left w:val="nil"/>
          <w:bottom w:val="nil"/>
          <w:right w:val="nil"/>
          <w:between w:val="nil"/>
        </w:pBdr>
        <w:tabs>
          <w:tab w:val="left" w:pos="1539"/>
          <w:tab w:val="left" w:pos="1540"/>
        </w:tabs>
        <w:ind w:left="0"/>
        <w:jc w:val="both"/>
      </w:pPr>
      <w:r>
        <w:rPr>
          <w:color w:val="000000"/>
        </w:rPr>
        <w:t>Kaip manote, ką jaučia kiekvienas šioje situacijoje esantis asmuo?</w:t>
      </w:r>
    </w:p>
    <w:p w14:paraId="5A709FD7" w14:textId="77777777" w:rsidR="002656B5" w:rsidRDefault="00000000">
      <w:pPr>
        <w:numPr>
          <w:ilvl w:val="1"/>
          <w:numId w:val="1"/>
        </w:numPr>
        <w:pBdr>
          <w:top w:val="nil"/>
          <w:left w:val="nil"/>
          <w:bottom w:val="nil"/>
          <w:right w:val="nil"/>
          <w:between w:val="nil"/>
        </w:pBdr>
        <w:tabs>
          <w:tab w:val="left" w:pos="1539"/>
          <w:tab w:val="left" w:pos="1540"/>
        </w:tabs>
        <w:ind w:left="0"/>
        <w:jc w:val="both"/>
      </w:pPr>
      <w:r>
        <w:rPr>
          <w:color w:val="000000"/>
        </w:rPr>
        <w:t>Ką mergina gali daryti tokioje situacijoje?</w:t>
      </w:r>
    </w:p>
    <w:p w14:paraId="2DB0EE3C" w14:textId="77777777" w:rsidR="002656B5" w:rsidRDefault="00000000">
      <w:pPr>
        <w:numPr>
          <w:ilvl w:val="1"/>
          <w:numId w:val="1"/>
        </w:numPr>
        <w:pBdr>
          <w:top w:val="nil"/>
          <w:left w:val="nil"/>
          <w:bottom w:val="nil"/>
          <w:right w:val="nil"/>
          <w:between w:val="nil"/>
        </w:pBdr>
        <w:tabs>
          <w:tab w:val="left" w:pos="1539"/>
          <w:tab w:val="left" w:pos="1540"/>
        </w:tabs>
        <w:ind w:left="0"/>
        <w:jc w:val="both"/>
      </w:pPr>
      <w:r>
        <w:rPr>
          <w:color w:val="000000"/>
        </w:rPr>
        <w:t>Ką tokioje situacijoje gali daryti vaikinas?</w:t>
      </w:r>
    </w:p>
    <w:p w14:paraId="77B03DF9" w14:textId="77777777" w:rsidR="002656B5" w:rsidRDefault="002656B5">
      <w:pPr>
        <w:jc w:val="both"/>
        <w:rPr>
          <w:sz w:val="28"/>
          <w:szCs w:val="28"/>
        </w:rPr>
      </w:pPr>
    </w:p>
    <w:p w14:paraId="3F4672EB" w14:textId="77777777" w:rsidR="002656B5" w:rsidRDefault="00000000">
      <w:pPr>
        <w:jc w:val="both"/>
        <w:rPr>
          <w:i/>
        </w:rPr>
      </w:pPr>
      <w:r>
        <w:rPr>
          <w:b/>
          <w:i/>
        </w:rPr>
        <w:t>Pastaba</w:t>
      </w:r>
      <w:r>
        <w:rPr>
          <w:i/>
        </w:rPr>
        <w:t>. Paaiškinkite, kad šiame vaizdo įraše parodytas labai žalingo internetinių pokalbių būdo, vadinamo sekstingu, t. y. seksualinio pobūdžio žinučių, nuotraukų ar vaizdo įrašų siuntimo, gavimo ar persiuntimo, pavyzdys. Taip pat svarbu pabrėžti ir patvirtinti, kad visada yra išeitis.</w:t>
      </w:r>
    </w:p>
    <w:p w14:paraId="0CB365C9" w14:textId="77777777" w:rsidR="002656B5" w:rsidRDefault="002656B5">
      <w:pPr>
        <w:jc w:val="both"/>
        <w:rPr>
          <w:i/>
          <w:sz w:val="21"/>
          <w:szCs w:val="21"/>
        </w:rPr>
      </w:pPr>
    </w:p>
    <w:p w14:paraId="59547D46" w14:textId="77777777" w:rsidR="002656B5" w:rsidRDefault="00000000">
      <w:pPr>
        <w:numPr>
          <w:ilvl w:val="0"/>
          <w:numId w:val="1"/>
        </w:numPr>
        <w:pBdr>
          <w:top w:val="nil"/>
          <w:left w:val="nil"/>
          <w:bottom w:val="nil"/>
          <w:right w:val="nil"/>
          <w:between w:val="nil"/>
        </w:pBdr>
        <w:tabs>
          <w:tab w:val="left" w:pos="820"/>
        </w:tabs>
        <w:ind w:left="0"/>
        <w:jc w:val="both"/>
      </w:pPr>
      <w:r>
        <w:rPr>
          <w:color w:val="000000"/>
        </w:rPr>
        <w:t xml:space="preserve">Sužinoti, kas </w:t>
      </w:r>
      <w:r>
        <w:rPr>
          <w:b/>
          <w:color w:val="000000"/>
        </w:rPr>
        <w:t xml:space="preserve">yra raudonos vėliavos jausmai (red flag feeling) </w:t>
      </w:r>
      <w:r>
        <w:rPr>
          <w:color w:val="000000"/>
        </w:rPr>
        <w:t>(4 skaidrė). Mokytojas / vedantysis paaiškina, kad jausmai, kuriuos mergina jautė prieš išsiųsdama nuotrauką, gali būti vadinami raudonos vėliavos jausmais. Tai terminas, apibūdinantis nerimą ir laukimą, kai kažkas gali būti negerai -  „negera nuojauta“. Kad mokiniai sužinotų ir suprastų, į kokius raudonos vėliavos jausmus turėtų atkreipti dėmesį, mokytojas / vedėjas tolesnėse skaidrėse išanalizuos 2 rizikingas situacijas.</w:t>
      </w:r>
    </w:p>
    <w:p w14:paraId="1956DB8C" w14:textId="77777777" w:rsidR="002656B5" w:rsidRDefault="00000000">
      <w:pPr>
        <w:numPr>
          <w:ilvl w:val="0"/>
          <w:numId w:val="1"/>
        </w:numPr>
        <w:pBdr>
          <w:top w:val="nil"/>
          <w:left w:val="nil"/>
          <w:bottom w:val="nil"/>
          <w:right w:val="nil"/>
          <w:between w:val="nil"/>
        </w:pBdr>
        <w:tabs>
          <w:tab w:val="left" w:pos="820"/>
        </w:tabs>
        <w:spacing w:line="237" w:lineRule="auto"/>
        <w:ind w:left="0"/>
        <w:jc w:val="both"/>
      </w:pPr>
      <w:r>
        <w:rPr>
          <w:b/>
          <w:color w:val="000000"/>
        </w:rPr>
        <w:t xml:space="preserve">Mokytojas / vedantysis papasakoja apie dažniausiai pasitaikančius raudonos vėliavos jausmus, </w:t>
      </w:r>
      <w:r>
        <w:rPr>
          <w:color w:val="000000"/>
        </w:rPr>
        <w:t>kurios gali padėti atpažinti sukčiavimą (5 skaidrė).</w:t>
      </w:r>
    </w:p>
    <w:p w14:paraId="343139AA" w14:textId="77777777" w:rsidR="002656B5" w:rsidRDefault="00000000">
      <w:pPr>
        <w:jc w:val="both"/>
      </w:pPr>
      <w:r>
        <w:t>Mokėjimas atpažinti sukčius gali būti labai svarbus ir naudingas mokinių kritinio mąstymo ugdymui. Dėl šios priežasties mokytojas / vedantysis parodo sukčių pranešimus ir aptaria, kaip jų išvengti.</w:t>
      </w:r>
    </w:p>
    <w:p w14:paraId="5F7E0440" w14:textId="77777777" w:rsidR="002656B5" w:rsidRDefault="00000000">
      <w:pPr>
        <w:spacing w:line="276" w:lineRule="auto"/>
        <w:jc w:val="both"/>
      </w:pPr>
      <w:r>
        <w:rPr>
          <w:b/>
          <w:i/>
        </w:rPr>
        <w:t>Pastaba</w:t>
      </w:r>
      <w:r>
        <w:rPr>
          <w:i/>
        </w:rPr>
        <w:t xml:space="preserve">. Kol mokytojas / vedantysis kalba apie profilio nuotraukų temą, jis (ji) gali parodyti mokiniams, kaip patikrinti nuotraukas; ar jie yra tie asmenys, kurie jas įkėlė. </w:t>
      </w:r>
      <w:r>
        <w:t>Žr. 3.5.1.4 priedą. Kaip patikrinti profilio nuotrauką.</w:t>
      </w:r>
    </w:p>
    <w:p w14:paraId="0075EEC2" w14:textId="77777777" w:rsidR="002656B5" w:rsidRDefault="002656B5">
      <w:pPr>
        <w:jc w:val="both"/>
        <w:rPr>
          <w:sz w:val="16"/>
          <w:szCs w:val="16"/>
        </w:rPr>
      </w:pPr>
    </w:p>
    <w:p w14:paraId="47554458" w14:textId="77777777" w:rsidR="002656B5" w:rsidRDefault="00000000">
      <w:pPr>
        <w:numPr>
          <w:ilvl w:val="0"/>
          <w:numId w:val="1"/>
        </w:numPr>
        <w:pBdr>
          <w:top w:val="nil"/>
          <w:left w:val="nil"/>
          <w:bottom w:val="nil"/>
          <w:right w:val="nil"/>
          <w:between w:val="nil"/>
        </w:pBdr>
        <w:tabs>
          <w:tab w:val="left" w:pos="820"/>
        </w:tabs>
        <w:ind w:left="0"/>
        <w:jc w:val="both"/>
      </w:pPr>
      <w:r>
        <w:rPr>
          <w:b/>
          <w:color w:val="000000"/>
        </w:rPr>
        <w:t xml:space="preserve">Mokytojas / vedantysis pristato sąrašą dalykų, į kuriuos reikia atsižvelgti prieš siunčiant arba prašant nuogos/-o nuotraukų (nude) </w:t>
      </w:r>
      <w:r>
        <w:rPr>
          <w:color w:val="000000"/>
        </w:rPr>
        <w:t>(6 skaidrė). Jei bent viename sakinyje mokiniai atsako "ne", to gali užtekti apmąstant visas nuogos/-o nuotraukų siuntimų idėjas.</w:t>
      </w:r>
    </w:p>
    <w:p w14:paraId="2D2BC2D5" w14:textId="77777777" w:rsidR="002656B5" w:rsidRDefault="00000000">
      <w:pPr>
        <w:jc w:val="both"/>
        <w:rPr>
          <w:i/>
        </w:rPr>
      </w:pPr>
      <w:r>
        <w:rPr>
          <w:b/>
          <w:i/>
        </w:rPr>
        <w:t xml:space="preserve">Pastaba. </w:t>
      </w:r>
      <w:r>
        <w:rPr>
          <w:i/>
        </w:rPr>
        <w:t>Kalbant apie nuogos/-o nuotraukų siuntimą, būtina kalbėti ne tik apie tuos jaunuolius, kurie jas siunčia, bet ir apie tuos, kurių prašo nepadorių nuotraukų. Apie tai bus kalbama šioje dalyje, kurioje mokiniai mokomi, kaip apsaugoti save ir kitus.</w:t>
      </w:r>
    </w:p>
    <w:p w14:paraId="02DE22AD" w14:textId="77777777" w:rsidR="002656B5" w:rsidRDefault="002656B5">
      <w:pPr>
        <w:jc w:val="both"/>
        <w:rPr>
          <w:i/>
          <w:sz w:val="20"/>
          <w:szCs w:val="20"/>
        </w:rPr>
      </w:pPr>
    </w:p>
    <w:p w14:paraId="1EE4EA4B" w14:textId="77777777" w:rsidR="002656B5" w:rsidRDefault="002656B5">
      <w:pPr>
        <w:jc w:val="both"/>
        <w:rPr>
          <w:i/>
          <w:sz w:val="20"/>
          <w:szCs w:val="20"/>
        </w:rPr>
      </w:pPr>
    </w:p>
    <w:p w14:paraId="4EFCEF80" w14:textId="77777777" w:rsidR="002656B5" w:rsidRDefault="002656B5">
      <w:pPr>
        <w:jc w:val="both"/>
        <w:rPr>
          <w:i/>
          <w:sz w:val="20"/>
          <w:szCs w:val="20"/>
        </w:rPr>
      </w:pPr>
    </w:p>
    <w:p w14:paraId="587CF171" w14:textId="77777777" w:rsidR="002656B5" w:rsidRDefault="00000000">
      <w:pPr>
        <w:jc w:val="both"/>
        <w:rPr>
          <w:i/>
          <w:sz w:val="26"/>
          <w:szCs w:val="26"/>
        </w:rPr>
      </w:pPr>
      <w:r>
        <w:rPr>
          <w:noProof/>
        </w:rPr>
        <mc:AlternateContent>
          <mc:Choice Requires="wpg">
            <w:drawing>
              <wp:anchor distT="0" distB="0" distL="0" distR="0" simplePos="0" relativeHeight="251658240" behindDoc="0" locked="0" layoutInCell="1" hidden="0" allowOverlap="1" wp14:anchorId="2C56802E" wp14:editId="0D802142">
                <wp:simplePos x="0" y="0"/>
                <wp:positionH relativeFrom="column">
                  <wp:posOffset>63500</wp:posOffset>
                </wp:positionH>
                <wp:positionV relativeFrom="paragraph">
                  <wp:posOffset>215900</wp:posOffset>
                </wp:positionV>
                <wp:extent cx="1828800" cy="12700"/>
                <wp:effectExtent l="0" t="0" r="0" b="0"/>
                <wp:wrapTopAndBottom distT="0" distB="0"/>
                <wp:docPr id="15" name="Rectangle 15"/>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23333594" w14:textId="77777777" w:rsidR="002656B5" w:rsidRDefault="002656B5">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63500</wp:posOffset>
                </wp:positionH>
                <wp:positionV relativeFrom="paragraph">
                  <wp:posOffset>215900</wp:posOffset>
                </wp:positionV>
                <wp:extent cx="1828800" cy="12700"/>
                <wp:effectExtent b="0" l="0" r="0" t="0"/>
                <wp:wrapTopAndBottom distB="0" distT="0"/>
                <wp:docPr id="15"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1828800" cy="12700"/>
                        </a:xfrm>
                        <a:prstGeom prst="rect"/>
                        <a:ln/>
                      </pic:spPr>
                    </pic:pic>
                  </a:graphicData>
                </a:graphic>
              </wp:anchor>
            </w:drawing>
          </mc:Fallback>
        </mc:AlternateContent>
      </w:r>
    </w:p>
    <w:p w14:paraId="4C476420" w14:textId="77777777" w:rsidR="002656B5" w:rsidRDefault="00000000">
      <w:pPr>
        <w:jc w:val="both"/>
        <w:rPr>
          <w:rFonts w:ascii="Arial" w:eastAsia="Arial" w:hAnsi="Arial" w:cs="Arial"/>
          <w:sz w:val="17"/>
          <w:szCs w:val="17"/>
        </w:rPr>
        <w:sectPr w:rsidR="002656B5">
          <w:headerReference w:type="default" r:id="rId9"/>
          <w:footerReference w:type="default" r:id="rId10"/>
          <w:pgSz w:w="11910" w:h="16840"/>
          <w:pgMar w:top="1420" w:right="540" w:bottom="280" w:left="1340" w:header="720" w:footer="720" w:gutter="0"/>
          <w:pgNumType w:start="1"/>
          <w:cols w:space="720"/>
        </w:sectPr>
      </w:pPr>
      <w:r>
        <w:rPr>
          <w:sz w:val="23"/>
          <w:szCs w:val="23"/>
          <w:vertAlign w:val="superscript"/>
        </w:rPr>
        <w:t xml:space="preserve">1 </w:t>
      </w:r>
      <w:r>
        <w:rPr>
          <w:rFonts w:ascii="Arial" w:eastAsia="Arial" w:hAnsi="Arial" w:cs="Arial"/>
          <w:color w:val="282828"/>
          <w:sz w:val="17"/>
          <w:szCs w:val="17"/>
        </w:rPr>
        <w:t>© 2019, Tik Sidnėjus, "YouTube</w:t>
      </w:r>
    </w:p>
    <w:p w14:paraId="69D904ED" w14:textId="77777777" w:rsidR="002656B5" w:rsidRDefault="00000000">
      <w:pPr>
        <w:numPr>
          <w:ilvl w:val="0"/>
          <w:numId w:val="1"/>
        </w:numPr>
        <w:pBdr>
          <w:top w:val="nil"/>
          <w:left w:val="nil"/>
          <w:bottom w:val="nil"/>
          <w:right w:val="nil"/>
          <w:between w:val="nil"/>
        </w:pBdr>
        <w:tabs>
          <w:tab w:val="left" w:pos="820"/>
        </w:tabs>
        <w:ind w:left="0"/>
        <w:jc w:val="both"/>
      </w:pPr>
      <w:r>
        <w:rPr>
          <w:b/>
          <w:color w:val="000000"/>
        </w:rPr>
        <w:lastRenderedPageBreak/>
        <w:t xml:space="preserve">Diskusijų laikas </w:t>
      </w:r>
      <w:r>
        <w:rPr>
          <w:color w:val="000000"/>
        </w:rPr>
        <w:t>(7 skaidrė). Mokytojas / vedantysis pakviečia besimokančiuosius pasidalyti mintimis apie šiuos klausimus:</w:t>
      </w:r>
    </w:p>
    <w:p w14:paraId="459EE81E" w14:textId="77777777" w:rsidR="002656B5" w:rsidRDefault="00000000">
      <w:pPr>
        <w:numPr>
          <w:ilvl w:val="1"/>
          <w:numId w:val="1"/>
        </w:numPr>
        <w:pBdr>
          <w:top w:val="nil"/>
          <w:left w:val="nil"/>
          <w:bottom w:val="nil"/>
          <w:right w:val="nil"/>
          <w:between w:val="nil"/>
        </w:pBdr>
        <w:tabs>
          <w:tab w:val="left" w:pos="1539"/>
          <w:tab w:val="left" w:pos="1540"/>
        </w:tabs>
        <w:ind w:left="0"/>
        <w:jc w:val="both"/>
      </w:pPr>
      <w:r>
        <w:rPr>
          <w:color w:val="000000"/>
        </w:rPr>
        <w:t>Kodėl šios situacijos žmonėms gali būti sunkios ir sudėtingos?</w:t>
      </w:r>
    </w:p>
    <w:p w14:paraId="7C3B8F93" w14:textId="77777777" w:rsidR="002656B5" w:rsidRDefault="00000000">
      <w:pPr>
        <w:numPr>
          <w:ilvl w:val="1"/>
          <w:numId w:val="1"/>
        </w:numPr>
        <w:pBdr>
          <w:top w:val="nil"/>
          <w:left w:val="nil"/>
          <w:bottom w:val="nil"/>
          <w:right w:val="nil"/>
          <w:between w:val="nil"/>
        </w:pBdr>
        <w:tabs>
          <w:tab w:val="left" w:pos="1539"/>
          <w:tab w:val="left" w:pos="1540"/>
        </w:tabs>
        <w:spacing w:line="267" w:lineRule="auto"/>
        <w:ind w:left="0"/>
        <w:jc w:val="both"/>
      </w:pPr>
      <w:r>
        <w:rPr>
          <w:color w:val="000000"/>
        </w:rPr>
        <w:t>Kodėl svarbu suprasti raudonos vėliavos jausmus?</w:t>
      </w:r>
    </w:p>
    <w:p w14:paraId="140001F3" w14:textId="77777777" w:rsidR="002656B5" w:rsidRDefault="00000000">
      <w:pPr>
        <w:jc w:val="both"/>
      </w:pPr>
      <w:r>
        <w:t>Svarbu paaiškinti, kad kartais neatpažįstame raudonos vėliavos jausmų – nuojautos / savo vidinio balso ir priimame apgailėtinus sprendimus. Tai visiškai normalu, ir tokiems atvejams visada yra atsakymas.</w:t>
      </w:r>
    </w:p>
    <w:p w14:paraId="5F579161" w14:textId="77777777" w:rsidR="002656B5" w:rsidRDefault="00000000">
      <w:pPr>
        <w:jc w:val="both"/>
        <w:rPr>
          <w:i/>
        </w:rPr>
      </w:pPr>
      <w:r>
        <w:rPr>
          <w:b/>
          <w:i/>
        </w:rPr>
        <w:t xml:space="preserve">Pastaba. </w:t>
      </w:r>
      <w:r>
        <w:rPr>
          <w:i/>
        </w:rPr>
        <w:t>Jei mokiniai atrodo šiek tiek nedrąsūs, leiskite jiems porą minučių įrašyti savo atsakymus į užrašus. Jiems svarbu išreikšti savo mintis bet kokia forma.</w:t>
      </w:r>
    </w:p>
    <w:p w14:paraId="3D7128BB" w14:textId="77777777" w:rsidR="002656B5" w:rsidRDefault="002656B5">
      <w:pPr>
        <w:jc w:val="both"/>
        <w:rPr>
          <w:i/>
        </w:rPr>
      </w:pPr>
    </w:p>
    <w:p w14:paraId="39345664" w14:textId="77777777" w:rsidR="002656B5" w:rsidRDefault="00000000">
      <w:pPr>
        <w:numPr>
          <w:ilvl w:val="0"/>
          <w:numId w:val="1"/>
        </w:numPr>
        <w:pBdr>
          <w:top w:val="nil"/>
          <w:left w:val="nil"/>
          <w:bottom w:val="nil"/>
          <w:right w:val="nil"/>
          <w:between w:val="nil"/>
        </w:pBdr>
        <w:tabs>
          <w:tab w:val="left" w:pos="820"/>
        </w:tabs>
        <w:ind w:left="0"/>
        <w:jc w:val="both"/>
      </w:pPr>
      <w:r>
        <w:rPr>
          <w:b/>
          <w:color w:val="000000"/>
        </w:rPr>
        <w:t>Mokytojas / vedantysis pristato</w:t>
      </w:r>
      <w:r>
        <w:rPr>
          <w:b/>
          <w:color w:val="1154CC"/>
          <w:u w:val="single"/>
        </w:rPr>
        <w:t xml:space="preserve"> </w:t>
      </w:r>
      <w:hyperlink r:id="rId11">
        <w:r>
          <w:rPr>
            <w:b/>
            <w:color w:val="1154CC"/>
            <w:u w:val="single"/>
          </w:rPr>
          <w:t>www.inhope.org</w:t>
        </w:r>
      </w:hyperlink>
      <w:hyperlink r:id="rId12">
        <w:r>
          <w:rPr>
            <w:b/>
            <w:color w:val="1154CC"/>
          </w:rPr>
          <w:t xml:space="preserve"> </w:t>
        </w:r>
      </w:hyperlink>
      <w:hyperlink r:id="rId13">
        <w:r>
          <w:rPr>
            <w:rFonts w:ascii="Times New Roman" w:eastAsia="Times New Roman" w:hAnsi="Times New Roman" w:cs="Times New Roman"/>
            <w:color w:val="000000"/>
            <w:sz w:val="14"/>
            <w:szCs w:val="14"/>
          </w:rPr>
          <w:t xml:space="preserve">- </w:t>
        </w:r>
      </w:hyperlink>
      <w:r>
        <w:rPr>
          <w:color w:val="000000"/>
        </w:rPr>
        <w:t>tai pasaulinis 46 narių karštųjų linijų tinklas, kuriame kiekvienas gali pranešti apie bet kokį asmenį trikdantį ir nerimą keliantį turinį (8 skaidrė).</w:t>
      </w:r>
    </w:p>
    <w:p w14:paraId="27E3069B" w14:textId="77777777" w:rsidR="002656B5" w:rsidRDefault="00000000">
      <w:pPr>
        <w:jc w:val="both"/>
      </w:pPr>
      <w:r>
        <w:rPr>
          <w:b/>
        </w:rPr>
        <w:t xml:space="preserve">Sakykite: </w:t>
      </w:r>
      <w:r>
        <w:t>Internete siūloma įvairi pagalba vaikams ir jaunuoliams, kurie gali turėti blogos patirties socialiniuose tinkluose. Yra vienas būdas išlikti anonimiškiems - tai INHOPE svetainė.</w:t>
      </w:r>
    </w:p>
    <w:p w14:paraId="4B813EB3" w14:textId="77777777" w:rsidR="002656B5" w:rsidRDefault="00000000">
      <w:pPr>
        <w:spacing w:line="273" w:lineRule="auto"/>
        <w:jc w:val="both"/>
        <w:rPr>
          <w:i/>
        </w:rPr>
      </w:pPr>
      <w:r>
        <w:rPr>
          <w:b/>
          <w:i/>
        </w:rPr>
        <w:t xml:space="preserve">Pastaba. </w:t>
      </w:r>
      <w:r>
        <w:rPr>
          <w:i/>
        </w:rPr>
        <w:t>Kaip ją naudoti? Pastebėjote nerimą keliantį turinį internete -&gt; Pasirinkite vietą, į kurią bus persiųstas pranešimas karštąja linija -&gt; Praneškite apie turinį.</w:t>
      </w:r>
    </w:p>
    <w:p w14:paraId="384F436D" w14:textId="77777777" w:rsidR="002656B5" w:rsidRDefault="002656B5">
      <w:pPr>
        <w:jc w:val="both"/>
        <w:rPr>
          <w:i/>
          <w:sz w:val="16"/>
          <w:szCs w:val="16"/>
        </w:rPr>
      </w:pPr>
    </w:p>
    <w:p w14:paraId="53DA83BD" w14:textId="77777777" w:rsidR="002656B5" w:rsidRDefault="00000000">
      <w:pPr>
        <w:numPr>
          <w:ilvl w:val="0"/>
          <w:numId w:val="1"/>
        </w:numPr>
        <w:pBdr>
          <w:top w:val="nil"/>
          <w:left w:val="nil"/>
          <w:bottom w:val="nil"/>
          <w:right w:val="nil"/>
          <w:between w:val="nil"/>
        </w:pBdr>
        <w:tabs>
          <w:tab w:val="left" w:pos="820"/>
        </w:tabs>
        <w:ind w:left="0"/>
        <w:jc w:val="both"/>
      </w:pPr>
      <w:r>
        <w:rPr>
          <w:b/>
          <w:color w:val="000000"/>
        </w:rPr>
        <w:t>Mokytojas / vedantysis pristato</w:t>
      </w:r>
      <w:r>
        <w:rPr>
          <w:b/>
          <w:color w:val="1154CC"/>
          <w:u w:val="single"/>
        </w:rPr>
        <w:t xml:space="preserve"> </w:t>
      </w:r>
      <w:r>
        <w:rPr>
          <w:color w:val="1154CC"/>
          <w:u w:val="single"/>
        </w:rPr>
        <w:t>Praneškite apie netinkamus vaizdus ar vaizdo įrašus,</w:t>
      </w:r>
    </w:p>
    <w:p w14:paraId="00FCCD05" w14:textId="77777777" w:rsidR="002656B5" w:rsidRDefault="00000000">
      <w:pPr>
        <w:jc w:val="both"/>
      </w:pPr>
      <w:r>
        <w:rPr>
          <w:rFonts w:ascii="Times New Roman" w:eastAsia="Times New Roman" w:hAnsi="Times New Roman" w:cs="Times New Roman"/>
          <w:color w:val="1154CC"/>
          <w:u w:val="single"/>
        </w:rPr>
        <w:t xml:space="preserve"> </w:t>
      </w:r>
      <w:r>
        <w:rPr>
          <w:color w:val="1154CC"/>
          <w:u w:val="single"/>
        </w:rPr>
        <w:t xml:space="preserve">paskelbtus be jūsų sutikimo - "Blogger" pagalba </w:t>
      </w:r>
      <w:r>
        <w:t>(9 skaidrė).</w:t>
      </w:r>
    </w:p>
    <w:p w14:paraId="7D51E6BE" w14:textId="77777777" w:rsidR="002656B5" w:rsidRDefault="00000000">
      <w:pPr>
        <w:spacing w:line="273" w:lineRule="auto"/>
        <w:jc w:val="both"/>
      </w:pPr>
      <w:r>
        <w:t>Šia forma galite prašyti apriboti dalijimąsi šiais vaizdais ir vaizdo įrašais "Google" produktuose ("Blogger", "Drive", "Google+", "Groups", "Photos", "Sites", "Classroom").</w:t>
      </w:r>
    </w:p>
    <w:p w14:paraId="4A0E147D" w14:textId="77777777" w:rsidR="002656B5" w:rsidRDefault="00000000">
      <w:pPr>
        <w:numPr>
          <w:ilvl w:val="0"/>
          <w:numId w:val="1"/>
        </w:numPr>
        <w:pBdr>
          <w:top w:val="nil"/>
          <w:left w:val="nil"/>
          <w:bottom w:val="nil"/>
          <w:right w:val="nil"/>
          <w:between w:val="nil"/>
        </w:pBdr>
        <w:tabs>
          <w:tab w:val="left" w:pos="820"/>
        </w:tabs>
        <w:ind w:left="0"/>
        <w:jc w:val="both"/>
        <w:rPr>
          <w:b/>
          <w:color w:val="000000"/>
        </w:rPr>
      </w:pPr>
      <w:r>
        <w:rPr>
          <w:b/>
          <w:color w:val="000000"/>
        </w:rPr>
        <w:t>Mokytojas / vedantysis skatina vaikus nelikti baimėje ir ieškoti pagalbos vietos šaltiniuose</w:t>
      </w:r>
    </w:p>
    <w:p w14:paraId="1934E265" w14:textId="77777777" w:rsidR="002656B5" w:rsidRDefault="00000000">
      <w:pPr>
        <w:jc w:val="both"/>
      </w:pPr>
      <w:r>
        <w:t>(10 skaidrė).</w:t>
      </w:r>
    </w:p>
    <w:p w14:paraId="1CDDEE26" w14:textId="77777777" w:rsidR="002656B5" w:rsidRDefault="002656B5">
      <w:pPr>
        <w:jc w:val="both"/>
        <w:rPr>
          <w:sz w:val="19"/>
          <w:szCs w:val="19"/>
        </w:rPr>
      </w:pPr>
    </w:p>
    <w:p w14:paraId="0905D6CA" w14:textId="77777777" w:rsidR="002656B5" w:rsidRDefault="00000000">
      <w:pPr>
        <w:jc w:val="both"/>
        <w:rPr>
          <w:i/>
        </w:rPr>
      </w:pPr>
      <w:r>
        <w:rPr>
          <w:b/>
          <w:i/>
        </w:rPr>
        <w:t xml:space="preserve">Pastaba. </w:t>
      </w:r>
      <w:r>
        <w:rPr>
          <w:i/>
        </w:rPr>
        <w:t>Šioje dalyje svarbu supažindinti besimokančiuosius su vietos ištekliais ir parama.</w:t>
      </w:r>
    </w:p>
    <w:p w14:paraId="400DB297" w14:textId="77777777" w:rsidR="002656B5" w:rsidRDefault="002656B5">
      <w:pPr>
        <w:jc w:val="both"/>
        <w:rPr>
          <w:i/>
          <w:sz w:val="19"/>
          <w:szCs w:val="19"/>
        </w:rPr>
      </w:pPr>
    </w:p>
    <w:p w14:paraId="68890EF7" w14:textId="77777777" w:rsidR="002656B5" w:rsidRDefault="00000000">
      <w:pPr>
        <w:numPr>
          <w:ilvl w:val="0"/>
          <w:numId w:val="1"/>
        </w:numPr>
        <w:pBdr>
          <w:top w:val="nil"/>
          <w:left w:val="nil"/>
          <w:bottom w:val="nil"/>
          <w:right w:val="nil"/>
          <w:between w:val="nil"/>
        </w:pBdr>
        <w:tabs>
          <w:tab w:val="left" w:pos="820"/>
        </w:tabs>
        <w:ind w:left="0"/>
        <w:jc w:val="both"/>
      </w:pPr>
      <w:r>
        <w:rPr>
          <w:b/>
          <w:color w:val="000000"/>
        </w:rPr>
        <w:t xml:space="preserve">Refleksija. </w:t>
      </w:r>
      <w:r>
        <w:rPr>
          <w:color w:val="000000"/>
        </w:rPr>
        <w:t>Refleksija gali apimti šiuos klausimus:</w:t>
      </w:r>
    </w:p>
    <w:p w14:paraId="6D0FF7D7" w14:textId="77777777" w:rsidR="002656B5" w:rsidRDefault="00000000">
      <w:pPr>
        <w:numPr>
          <w:ilvl w:val="1"/>
          <w:numId w:val="1"/>
        </w:numPr>
        <w:pBdr>
          <w:top w:val="nil"/>
          <w:left w:val="nil"/>
          <w:bottom w:val="nil"/>
          <w:right w:val="nil"/>
          <w:between w:val="nil"/>
        </w:pBdr>
        <w:tabs>
          <w:tab w:val="left" w:pos="1539"/>
          <w:tab w:val="left" w:pos="1540"/>
        </w:tabs>
        <w:ind w:left="0"/>
        <w:jc w:val="both"/>
      </w:pPr>
      <w:r>
        <w:rPr>
          <w:color w:val="000000"/>
        </w:rPr>
        <w:t>Kaip jaučiatės? Ką manote apie šią pamoką? Ar jos daugiausia teigiamos, ar neigiamos?</w:t>
      </w:r>
    </w:p>
    <w:p w14:paraId="18A3D258" w14:textId="77777777" w:rsidR="002656B5" w:rsidRDefault="00000000">
      <w:pPr>
        <w:numPr>
          <w:ilvl w:val="1"/>
          <w:numId w:val="1"/>
        </w:numPr>
        <w:pBdr>
          <w:top w:val="nil"/>
          <w:left w:val="nil"/>
          <w:bottom w:val="nil"/>
          <w:right w:val="nil"/>
          <w:between w:val="nil"/>
        </w:pBdr>
        <w:tabs>
          <w:tab w:val="left" w:pos="1539"/>
          <w:tab w:val="left" w:pos="1540"/>
        </w:tabs>
        <w:ind w:left="0"/>
        <w:jc w:val="both"/>
      </w:pPr>
      <w:r>
        <w:rPr>
          <w:color w:val="000000"/>
        </w:rPr>
        <w:t>Kas jums buvo nauja?</w:t>
      </w:r>
    </w:p>
    <w:p w14:paraId="5FC92859" w14:textId="77777777" w:rsidR="002656B5" w:rsidRDefault="00000000">
      <w:pPr>
        <w:numPr>
          <w:ilvl w:val="1"/>
          <w:numId w:val="1"/>
        </w:numPr>
        <w:pBdr>
          <w:top w:val="nil"/>
          <w:left w:val="nil"/>
          <w:bottom w:val="nil"/>
          <w:right w:val="nil"/>
          <w:between w:val="nil"/>
        </w:pBdr>
        <w:tabs>
          <w:tab w:val="left" w:pos="1539"/>
          <w:tab w:val="left" w:pos="1540"/>
        </w:tabs>
        <w:ind w:left="0"/>
        <w:jc w:val="both"/>
      </w:pPr>
      <w:r>
        <w:rPr>
          <w:color w:val="000000"/>
        </w:rPr>
        <w:t>Ko svarbiausio išmokote asmeniškai?</w:t>
      </w:r>
    </w:p>
    <w:p w14:paraId="431DC8E1" w14:textId="77777777" w:rsidR="002656B5" w:rsidRDefault="00000000">
      <w:pPr>
        <w:numPr>
          <w:ilvl w:val="1"/>
          <w:numId w:val="1"/>
        </w:numPr>
        <w:pBdr>
          <w:top w:val="nil"/>
          <w:left w:val="nil"/>
          <w:bottom w:val="nil"/>
          <w:right w:val="nil"/>
          <w:between w:val="nil"/>
        </w:pBdr>
        <w:tabs>
          <w:tab w:val="left" w:pos="1539"/>
          <w:tab w:val="left" w:pos="1540"/>
        </w:tabs>
        <w:ind w:left="0"/>
        <w:jc w:val="both"/>
      </w:pPr>
      <w:r>
        <w:rPr>
          <w:color w:val="000000"/>
        </w:rPr>
        <w:t>Ką manote apie tokią informaciją ir ar ji bus naudinga realiose situacijose? Kaip panaudosite tai, ką sužinojote, ateityje?</w:t>
      </w:r>
    </w:p>
    <w:p w14:paraId="68B044D0" w14:textId="77777777" w:rsidR="002656B5" w:rsidRDefault="00000000">
      <w:pPr>
        <w:numPr>
          <w:ilvl w:val="1"/>
          <w:numId w:val="1"/>
        </w:numPr>
        <w:pBdr>
          <w:top w:val="nil"/>
          <w:left w:val="nil"/>
          <w:bottom w:val="nil"/>
          <w:right w:val="nil"/>
          <w:between w:val="nil"/>
        </w:pBdr>
        <w:tabs>
          <w:tab w:val="left" w:pos="1539"/>
          <w:tab w:val="left" w:pos="1540"/>
        </w:tabs>
        <w:ind w:left="0"/>
        <w:jc w:val="both"/>
      </w:pPr>
      <w:r>
        <w:rPr>
          <w:color w:val="000000"/>
        </w:rPr>
        <w:t>Ką galima daryti kitaip?</w:t>
      </w:r>
    </w:p>
    <w:p w14:paraId="4D4CE10A" w14:textId="77777777" w:rsidR="002656B5" w:rsidRDefault="002656B5">
      <w:pPr>
        <w:jc w:val="both"/>
        <w:rPr>
          <w:sz w:val="20"/>
          <w:szCs w:val="20"/>
        </w:rPr>
      </w:pPr>
    </w:p>
    <w:p w14:paraId="196211AE" w14:textId="77777777" w:rsidR="002656B5" w:rsidRDefault="002656B5">
      <w:pPr>
        <w:jc w:val="both"/>
        <w:rPr>
          <w:rFonts w:ascii="Trebuchet MS" w:eastAsia="Trebuchet MS" w:hAnsi="Trebuchet MS" w:cs="Trebuchet MS"/>
          <w:color w:val="2F5495"/>
          <w:sz w:val="28"/>
          <w:szCs w:val="28"/>
        </w:rPr>
      </w:pPr>
    </w:p>
    <w:p w14:paraId="624CF9E7" w14:textId="77777777" w:rsidR="002656B5" w:rsidRDefault="00000000">
      <w:pPr>
        <w:jc w:val="both"/>
        <w:rPr>
          <w:rFonts w:ascii="Trebuchet MS" w:eastAsia="Trebuchet MS" w:hAnsi="Trebuchet MS" w:cs="Trebuchet MS"/>
          <w:sz w:val="28"/>
          <w:szCs w:val="28"/>
        </w:rPr>
      </w:pPr>
      <w:r>
        <w:rPr>
          <w:rFonts w:ascii="Trebuchet MS" w:eastAsia="Trebuchet MS" w:hAnsi="Trebuchet MS" w:cs="Trebuchet MS"/>
          <w:color w:val="2F5495"/>
          <w:sz w:val="28"/>
          <w:szCs w:val="28"/>
        </w:rPr>
        <w:t>Išsiregistravimo metodas:</w:t>
      </w:r>
    </w:p>
    <w:p w14:paraId="3E1C0DE0" w14:textId="77777777" w:rsidR="002656B5" w:rsidRDefault="00000000">
      <w:pPr>
        <w:spacing w:line="276" w:lineRule="auto"/>
        <w:jc w:val="both"/>
      </w:pPr>
      <w:r>
        <w:t>Šį metodą rekomenduojama taikyti paskutinį kiekvieno susitikimo metu (kaip ir registraciją - pirmąjį kiekvieno susitikimo metu) visais atvejais, jei tai buvo pamokos trukmės ar dienos susitikimas su mokiniais.</w:t>
      </w:r>
    </w:p>
    <w:p w14:paraId="554D26FC" w14:textId="77777777" w:rsidR="002656B5" w:rsidRDefault="002656B5">
      <w:pPr>
        <w:jc w:val="both"/>
        <w:rPr>
          <w:sz w:val="16"/>
          <w:szCs w:val="16"/>
        </w:rPr>
      </w:pPr>
    </w:p>
    <w:p w14:paraId="0BDD7EDF" w14:textId="77777777" w:rsidR="002656B5" w:rsidRDefault="00000000">
      <w:pPr>
        <w:jc w:val="both"/>
      </w:pPr>
      <w:r>
        <w:rPr>
          <w:color w:val="1F2123"/>
        </w:rPr>
        <w:t>Mokytojas / vedantysis</w:t>
      </w:r>
      <w:r>
        <w:t xml:space="preserve"> išdėlioja ant žemės kortelių kaladę (pvz., įvairių paveikslėlių, dixit kortelių) ir kviečia kiekvienam paimti vieną kortelę, kuri atspindėtų jo šiandienos nuotaiką. Siūloma korteles išdėlioti rato viduryje, kad visi jas matytų ir galėtų išsirinkti sau patinkančią. Kai visi pasiruošia korteles ir grįžta į savo kėdes, </w:t>
      </w:r>
      <w:r>
        <w:rPr>
          <w:color w:val="1F2123"/>
        </w:rPr>
        <w:t xml:space="preserve">mokytojas </w:t>
      </w:r>
      <w:r>
        <w:t xml:space="preserve">/ vedantysis sako, kad dalinsimės ratu po vieną: pirmiausia asmuo primena savo vardą, tada parodo kortelę ir papasakoja daugiau apie savo šiandienos nuotaiką, o paskui papasakoja šios dienos / pamokos išsinešimą. Kas nori pradėti arba </w:t>
      </w:r>
      <w:r>
        <w:rPr>
          <w:color w:val="1F2123"/>
        </w:rPr>
        <w:t xml:space="preserve">mokytojas </w:t>
      </w:r>
      <w:r>
        <w:t>/ vedantysis pradeda pats / pati. Mokytojas / vedantysis gali apibendrinanti pasidalijimą, pavyzdžiui, apie nuotaiką, apie išsinešimus. (Veiklos trukmė priklauso nuo dalyvių skaičiaus. 3-5 minutes trunka įžanga, apie 1 minutę dalyviai gali kalbėti, apibendrinimas trunka 1-2 minutes).</w:t>
      </w:r>
    </w:p>
    <w:p w14:paraId="4B58E503" w14:textId="77777777" w:rsidR="002656B5" w:rsidRDefault="002656B5">
      <w:pPr>
        <w:spacing w:line="276" w:lineRule="auto"/>
        <w:ind w:hanging="2232"/>
        <w:jc w:val="both"/>
        <w:rPr>
          <w:rFonts w:ascii="Calibri" w:eastAsia="Calibri" w:hAnsi="Calibri" w:cs="Calibri"/>
        </w:rPr>
      </w:pPr>
    </w:p>
    <w:sectPr w:rsidR="002656B5">
      <w:headerReference w:type="default" r:id="rId14"/>
      <w:footerReference w:type="default" r:id="rId15"/>
      <w:pgSz w:w="11910" w:h="16840"/>
      <w:pgMar w:top="1440" w:right="1440" w:bottom="1440" w:left="1440"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08EC6" w14:textId="77777777" w:rsidR="00791D14" w:rsidRDefault="00791D14">
      <w:r>
        <w:separator/>
      </w:r>
    </w:p>
  </w:endnote>
  <w:endnote w:type="continuationSeparator" w:id="0">
    <w:p w14:paraId="60B8E522" w14:textId="77777777" w:rsidR="00791D14" w:rsidRDefault="00791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auto"/>
    <w:pitch w:val="default"/>
  </w:font>
  <w:font w:name="Caladea">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6D496" w14:textId="77777777" w:rsidR="002656B5" w:rsidRDefault="00000000">
    <w:pPr>
      <w:pBdr>
        <w:top w:val="nil"/>
        <w:left w:val="nil"/>
        <w:bottom w:val="nil"/>
        <w:right w:val="nil"/>
        <w:between w:val="nil"/>
      </w:pBdr>
      <w:tabs>
        <w:tab w:val="center" w:pos="4536"/>
        <w:tab w:val="right" w:pos="9072"/>
      </w:tabs>
      <w:jc w:val="center"/>
      <w:rPr>
        <w:b/>
        <w:sz w:val="18"/>
        <w:szCs w:val="18"/>
      </w:rPr>
    </w:pPr>
    <w:r>
      <w:rPr>
        <w:b/>
        <w:sz w:val="18"/>
        <w:szCs w:val="18"/>
      </w:rPr>
      <w:t>Socialiniai tinklai: nauda ir pavojai</w:t>
    </w:r>
    <w:r>
      <w:rPr>
        <w:noProof/>
      </w:rPr>
      <mc:AlternateContent>
        <mc:Choice Requires="wpg">
          <w:drawing>
            <wp:anchor distT="0" distB="0" distL="114300" distR="114300" simplePos="0" relativeHeight="251661312" behindDoc="0" locked="0" layoutInCell="1" hidden="0" allowOverlap="1" wp14:anchorId="4A365DCE" wp14:editId="22B98B0B">
              <wp:simplePos x="0" y="0"/>
              <wp:positionH relativeFrom="column">
                <wp:posOffset>1</wp:posOffset>
              </wp:positionH>
              <wp:positionV relativeFrom="paragraph">
                <wp:posOffset>0</wp:posOffset>
              </wp:positionV>
              <wp:extent cx="6890385" cy="22225"/>
              <wp:effectExtent l="0" t="0" r="0" b="0"/>
              <wp:wrapNone/>
              <wp:docPr id="18" name="Straight Arrow Connector 18"/>
              <wp:cNvGraphicFramePr/>
              <a:graphic xmlns:a="http://schemas.openxmlformats.org/drawingml/2006/main">
                <a:graphicData uri="http://schemas.microsoft.com/office/word/2010/wordprocessingShape">
                  <wps:wsp>
                    <wps:cNvCnPr/>
                    <wps:spPr>
                      <a:xfrm rot="10800000">
                        <a:off x="1905570" y="377365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890385" cy="22225"/>
              <wp:effectExtent b="0" l="0" r="0" t="0"/>
              <wp:wrapNone/>
              <wp:docPr id="1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6890385" cy="22225"/>
                      </a:xfrm>
                      <a:prstGeom prst="rect"/>
                      <a:ln/>
                    </pic:spPr>
                  </pic:pic>
                </a:graphicData>
              </a:graphic>
            </wp:anchor>
          </w:drawing>
        </mc:Fallback>
      </mc:AlternateContent>
    </w:r>
  </w:p>
  <w:p w14:paraId="13D64634" w14:textId="77777777" w:rsidR="002656B5" w:rsidRDefault="00000000">
    <w:pPr>
      <w:ind w:left="14" w:right="18"/>
      <w:jc w:val="center"/>
      <w:rPr>
        <w:sz w:val="18"/>
        <w:szCs w:val="18"/>
      </w:rPr>
    </w:pPr>
    <w:r>
      <w:rPr>
        <w:sz w:val="18"/>
        <w:szCs w:val="18"/>
      </w:rPr>
      <w:t>"Erasmus+" projekto ID numeris: 2020-1-UK01-KA201-078830</w:t>
    </w:r>
  </w:p>
  <w:p w14:paraId="1E4FE5DA" w14:textId="77777777" w:rsidR="002656B5" w:rsidRDefault="00000000">
    <w:pPr>
      <w:ind w:left="19" w:right="18"/>
      <w:jc w:val="center"/>
      <w:rPr>
        <w:sz w:val="18"/>
        <w:szCs w:val="18"/>
      </w:rPr>
    </w:pPr>
    <w:r>
      <w:rPr>
        <w:sz w:val="18"/>
        <w:szCs w:val="18"/>
      </w:rPr>
      <w:t>Europos Komisijos parama šio leidinio leidybai nereiškia, kad ji pritaria jo turiniui, kuris atspindi tik autorių požiūrį, ir Komisija negali būti laikoma atsakinga už bet kokį jame pateiktos informacijos panaudojimą.</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A814" w14:textId="77777777" w:rsidR="002656B5" w:rsidRDefault="00000000">
    <w:pPr>
      <w:pBdr>
        <w:top w:val="nil"/>
        <w:left w:val="nil"/>
        <w:bottom w:val="nil"/>
        <w:right w:val="nil"/>
        <w:between w:val="nil"/>
      </w:pBdr>
      <w:tabs>
        <w:tab w:val="center" w:pos="4536"/>
        <w:tab w:val="right" w:pos="9072"/>
      </w:tabs>
      <w:jc w:val="center"/>
      <w:rPr>
        <w:b/>
        <w:sz w:val="18"/>
        <w:szCs w:val="18"/>
      </w:rPr>
    </w:pPr>
    <w:r>
      <w:rPr>
        <w:b/>
        <w:sz w:val="18"/>
        <w:szCs w:val="18"/>
      </w:rPr>
      <w:t>Socialiniai tinklai: nauda ir pavojai</w:t>
    </w:r>
    <w:r>
      <w:rPr>
        <w:noProof/>
      </w:rPr>
      <mc:AlternateContent>
        <mc:Choice Requires="wpg">
          <w:drawing>
            <wp:anchor distT="0" distB="0" distL="114300" distR="114300" simplePos="0" relativeHeight="251665408" behindDoc="0" locked="0" layoutInCell="1" hidden="0" allowOverlap="1" wp14:anchorId="2453A2FD" wp14:editId="37A07EF4">
              <wp:simplePos x="0" y="0"/>
              <wp:positionH relativeFrom="column">
                <wp:posOffset>1</wp:posOffset>
              </wp:positionH>
              <wp:positionV relativeFrom="paragraph">
                <wp:posOffset>0</wp:posOffset>
              </wp:positionV>
              <wp:extent cx="6890385" cy="22225"/>
              <wp:effectExtent l="0" t="0" r="0" b="0"/>
              <wp:wrapNone/>
              <wp:docPr id="17" name="Straight Arrow Connector 17"/>
              <wp:cNvGraphicFramePr/>
              <a:graphic xmlns:a="http://schemas.openxmlformats.org/drawingml/2006/main">
                <a:graphicData uri="http://schemas.microsoft.com/office/word/2010/wordprocessingShape">
                  <wps:wsp>
                    <wps:cNvCnPr/>
                    <wps:spPr>
                      <a:xfrm rot="10800000">
                        <a:off x="1905570" y="377365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890385" cy="22225"/>
              <wp:effectExtent b="0" l="0" r="0" t="0"/>
              <wp:wrapNone/>
              <wp:docPr id="17"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6890385" cy="22225"/>
                      </a:xfrm>
                      <a:prstGeom prst="rect"/>
                      <a:ln/>
                    </pic:spPr>
                  </pic:pic>
                </a:graphicData>
              </a:graphic>
            </wp:anchor>
          </w:drawing>
        </mc:Fallback>
      </mc:AlternateContent>
    </w:r>
  </w:p>
  <w:p w14:paraId="669EE719" w14:textId="77777777" w:rsidR="002656B5" w:rsidRDefault="00000000">
    <w:pPr>
      <w:ind w:left="14" w:right="18"/>
      <w:jc w:val="center"/>
      <w:rPr>
        <w:sz w:val="18"/>
        <w:szCs w:val="18"/>
      </w:rPr>
    </w:pPr>
    <w:r>
      <w:rPr>
        <w:sz w:val="18"/>
        <w:szCs w:val="18"/>
      </w:rPr>
      <w:t>"Erasmus+" projekto ID numeris: 2020-1-UK01-KA201-078830</w:t>
    </w:r>
  </w:p>
  <w:p w14:paraId="79149022" w14:textId="77777777" w:rsidR="002656B5" w:rsidRDefault="00000000">
    <w:pPr>
      <w:ind w:left="19" w:right="18"/>
      <w:jc w:val="center"/>
      <w:rPr>
        <w:sz w:val="18"/>
        <w:szCs w:val="18"/>
      </w:rPr>
    </w:pPr>
    <w:r>
      <w:rPr>
        <w:sz w:val="18"/>
        <w:szCs w:val="18"/>
      </w:rPr>
      <w:t>Europos Komisijos parama šio leidinio leidybai nereiškia, kad ji pritaria jo turiniui, kuris atspindi tik autorių požiūrį, ir Komisija negali būti laikoma atsakinga už bet kokį jame pateiktos informacijos panaudojimą.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3BBBD" w14:textId="77777777" w:rsidR="00791D14" w:rsidRDefault="00791D14">
      <w:r>
        <w:separator/>
      </w:r>
    </w:p>
  </w:footnote>
  <w:footnote w:type="continuationSeparator" w:id="0">
    <w:p w14:paraId="073A879E" w14:textId="77777777" w:rsidR="00791D14" w:rsidRDefault="00791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699D8" w14:textId="1757B2CC" w:rsidR="002656B5" w:rsidRDefault="00B40411">
    <w:pPr>
      <w:pBdr>
        <w:top w:val="nil"/>
        <w:left w:val="nil"/>
        <w:bottom w:val="nil"/>
        <w:right w:val="nil"/>
        <w:between w:val="nil"/>
      </w:pBdr>
      <w:tabs>
        <w:tab w:val="center" w:pos="4513"/>
        <w:tab w:val="right" w:pos="9026"/>
      </w:tabs>
      <w:jc w:val="center"/>
      <w:rPr>
        <w:color w:val="000000"/>
      </w:rPr>
    </w:pPr>
    <w:r>
      <w:rPr>
        <w:noProof/>
      </w:rPr>
      <w:drawing>
        <wp:anchor distT="0" distB="0" distL="114300" distR="114300" simplePos="0" relativeHeight="251659264" behindDoc="0" locked="0" layoutInCell="1" hidden="0" allowOverlap="1" wp14:anchorId="390C5071" wp14:editId="6198BD2E">
          <wp:simplePos x="0" y="0"/>
          <wp:positionH relativeFrom="column">
            <wp:posOffset>4323080</wp:posOffset>
          </wp:positionH>
          <wp:positionV relativeFrom="paragraph">
            <wp:posOffset>-289560</wp:posOffset>
          </wp:positionV>
          <wp:extent cx="2052955" cy="445770"/>
          <wp:effectExtent l="0" t="0" r="0" b="0"/>
          <wp:wrapNone/>
          <wp:docPr id="22" name="image2.png"/>
          <wp:cNvGraphicFramePr/>
          <a:graphic xmlns:a="http://schemas.openxmlformats.org/drawingml/2006/main">
            <a:graphicData uri="http://schemas.openxmlformats.org/drawingml/2006/picture">
              <pic:pic xmlns:pic="http://schemas.openxmlformats.org/drawingml/2006/picture">
                <pic:nvPicPr>
                  <pic:cNvPr id="22"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000000">
      <w:rPr>
        <w:noProof/>
      </w:rPr>
      <w:drawing>
        <wp:anchor distT="0" distB="0" distL="114300" distR="114300" simplePos="0" relativeHeight="251658240" behindDoc="0" locked="0" layoutInCell="1" hidden="0" allowOverlap="1" wp14:anchorId="1FC22022" wp14:editId="1A72F0F0">
          <wp:simplePos x="0" y="0"/>
          <wp:positionH relativeFrom="column">
            <wp:posOffset>-435413</wp:posOffset>
          </wp:positionH>
          <wp:positionV relativeFrom="paragraph">
            <wp:posOffset>-279838</wp:posOffset>
          </wp:positionV>
          <wp:extent cx="495300" cy="495300"/>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r w:rsidR="00000000">
      <w:rPr>
        <w:noProof/>
      </w:rPr>
      <mc:AlternateContent>
        <mc:Choice Requires="wpg">
          <w:drawing>
            <wp:anchor distT="0" distB="0" distL="114300" distR="114300" simplePos="0" relativeHeight="251660288" behindDoc="0" locked="0" layoutInCell="1" hidden="0" allowOverlap="1" wp14:anchorId="72BBF0E0" wp14:editId="2F14C0D4">
              <wp:simplePos x="0" y="0"/>
              <wp:positionH relativeFrom="column">
                <wp:posOffset>-546099</wp:posOffset>
              </wp:positionH>
              <wp:positionV relativeFrom="paragraph">
                <wp:posOffset>304800</wp:posOffset>
              </wp:positionV>
              <wp:extent cx="6890385" cy="22225"/>
              <wp:effectExtent l="0" t="0" r="0" b="0"/>
              <wp:wrapNone/>
              <wp:docPr id="16" name="Straight Arrow Connector 16"/>
              <wp:cNvGraphicFramePr/>
              <a:graphic xmlns:a="http://schemas.openxmlformats.org/drawingml/2006/main">
                <a:graphicData uri="http://schemas.microsoft.com/office/word/2010/wordprocessingShape">
                  <wps:wsp>
                    <wps:cNvCnPr/>
                    <wps:spPr>
                      <a:xfrm rot="10800000">
                        <a:off x="1905570" y="377365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-546099</wp:posOffset>
              </wp:positionH>
              <wp:positionV relativeFrom="paragraph">
                <wp:posOffset>304800</wp:posOffset>
              </wp:positionV>
              <wp:extent cx="6890385" cy="22225"/>
              <wp:effectExtent b="0" l="0" r="0" t="0"/>
              <wp:wrapNone/>
              <wp:docPr id="16" name="image5.png"/>
              <a:graphic>
                <a:graphicData uri="http://schemas.openxmlformats.org/drawingml/2006/picture">
                  <pic:pic>
                    <pic:nvPicPr>
                      <pic:cNvPr id="0" name="image5.png"/>
                      <pic:cNvPicPr preferRelativeResize="0"/>
                    </pic:nvPicPr>
                    <pic:blipFill>
                      <a:blip r:embed="rId3"/>
                      <a:srcRect/>
                      <a:stretch>
                        <a:fillRect/>
                      </a:stretch>
                    </pic:blipFill>
                    <pic:spPr>
                      <a:xfrm>
                        <a:off x="0" y="0"/>
                        <a:ext cx="6890385" cy="22225"/>
                      </a:xfrm>
                      <a:prstGeom prst="rect"/>
                      <a:ln/>
                    </pic:spPr>
                  </pic:pic>
                </a:graphicData>
              </a:graphic>
            </wp:anchor>
          </w:drawing>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8C31" w14:textId="6E20111A" w:rsidR="002656B5" w:rsidRDefault="00B40411">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3360" behindDoc="0" locked="0" layoutInCell="1" hidden="0" allowOverlap="1" wp14:anchorId="0AF61554" wp14:editId="6BD5B2A8">
          <wp:simplePos x="0" y="0"/>
          <wp:positionH relativeFrom="column">
            <wp:posOffset>4457700</wp:posOffset>
          </wp:positionH>
          <wp:positionV relativeFrom="paragraph">
            <wp:posOffset>-228600</wp:posOffset>
          </wp:positionV>
          <wp:extent cx="2052955" cy="445770"/>
          <wp:effectExtent l="0" t="0" r="0" b="0"/>
          <wp:wrapNone/>
          <wp:docPr id="19" name="image2.png"/>
          <wp:cNvGraphicFramePr/>
          <a:graphic xmlns:a="http://schemas.openxmlformats.org/drawingml/2006/main">
            <a:graphicData uri="http://schemas.openxmlformats.org/drawingml/2006/picture">
              <pic:pic xmlns:pic="http://schemas.openxmlformats.org/drawingml/2006/picture">
                <pic:nvPicPr>
                  <pic:cNvPr id="19"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000000">
      <w:rPr>
        <w:noProof/>
      </w:rPr>
      <w:drawing>
        <wp:anchor distT="0" distB="0" distL="114300" distR="114300" simplePos="0" relativeHeight="251662336" behindDoc="0" locked="0" layoutInCell="1" hidden="0" allowOverlap="1" wp14:anchorId="4317EB5B" wp14:editId="5F3CFAF8">
          <wp:simplePos x="0" y="0"/>
          <wp:positionH relativeFrom="column">
            <wp:posOffset>-295909</wp:posOffset>
          </wp:positionH>
          <wp:positionV relativeFrom="paragraph">
            <wp:posOffset>-220979</wp:posOffset>
          </wp:positionV>
          <wp:extent cx="495300" cy="495300"/>
          <wp:effectExtent l="0" t="0" r="0"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r w:rsidR="00000000">
      <w:rPr>
        <w:noProof/>
      </w:rPr>
      <mc:AlternateContent>
        <mc:Choice Requires="wpg">
          <w:drawing>
            <wp:anchor distT="0" distB="0" distL="114300" distR="114300" simplePos="0" relativeHeight="251664384" behindDoc="0" locked="0" layoutInCell="1" hidden="0" allowOverlap="1" wp14:anchorId="28D8B979" wp14:editId="1D501573">
              <wp:simplePos x="0" y="0"/>
              <wp:positionH relativeFrom="column">
                <wp:posOffset>-406399</wp:posOffset>
              </wp:positionH>
              <wp:positionV relativeFrom="paragraph">
                <wp:posOffset>368300</wp:posOffset>
              </wp:positionV>
              <wp:extent cx="6890385" cy="22225"/>
              <wp:effectExtent l="0" t="0" r="0" b="0"/>
              <wp:wrapNone/>
              <wp:docPr id="14" name="Straight Arrow Connector 14"/>
              <wp:cNvGraphicFramePr/>
              <a:graphic xmlns:a="http://schemas.openxmlformats.org/drawingml/2006/main">
                <a:graphicData uri="http://schemas.microsoft.com/office/word/2010/wordprocessingShape">
                  <wps:wsp>
                    <wps:cNvCnPr/>
                    <wps:spPr>
                      <a:xfrm rot="10800000">
                        <a:off x="1905570" y="377365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-406399</wp:posOffset>
              </wp:positionH>
              <wp:positionV relativeFrom="paragraph">
                <wp:posOffset>368300</wp:posOffset>
              </wp:positionV>
              <wp:extent cx="6890385" cy="22225"/>
              <wp:effectExtent b="0" l="0" r="0" t="0"/>
              <wp:wrapNone/>
              <wp:docPr id="14"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6890385" cy="22225"/>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41422"/>
    <w:multiLevelType w:val="multilevel"/>
    <w:tmpl w:val="3BCC8DDE"/>
    <w:lvl w:ilvl="0">
      <w:start w:val="3"/>
      <w:numFmt w:val="decimal"/>
      <w:lvlText w:val="%1."/>
      <w:lvlJc w:val="left"/>
      <w:pPr>
        <w:ind w:left="936" w:hanging="936"/>
      </w:pPr>
    </w:lvl>
    <w:lvl w:ilvl="1">
      <w:start w:val="5"/>
      <w:numFmt w:val="decimal"/>
      <w:lvlText w:val="%1.%2."/>
      <w:lvlJc w:val="left"/>
      <w:pPr>
        <w:ind w:left="1150" w:hanging="936"/>
      </w:pPr>
    </w:lvl>
    <w:lvl w:ilvl="2">
      <w:start w:val="1"/>
      <w:numFmt w:val="decimal"/>
      <w:lvlText w:val="%1.%2.%3."/>
      <w:lvlJc w:val="left"/>
      <w:pPr>
        <w:ind w:left="1508" w:hanging="1080"/>
      </w:pPr>
    </w:lvl>
    <w:lvl w:ilvl="3">
      <w:start w:val="1"/>
      <w:numFmt w:val="decimal"/>
      <w:lvlText w:val="%1.%2.%3.%4."/>
      <w:lvlJc w:val="left"/>
      <w:pPr>
        <w:ind w:left="2082" w:hanging="1440"/>
      </w:pPr>
    </w:lvl>
    <w:lvl w:ilvl="4">
      <w:start w:val="1"/>
      <w:numFmt w:val="decimal"/>
      <w:lvlText w:val="%1.%2.%3.%4.%5."/>
      <w:lvlJc w:val="left"/>
      <w:pPr>
        <w:ind w:left="2656" w:hanging="1799"/>
      </w:pPr>
    </w:lvl>
    <w:lvl w:ilvl="5">
      <w:start w:val="1"/>
      <w:numFmt w:val="decimal"/>
      <w:lvlText w:val="%1.%2.%3.%4.%5.%6."/>
      <w:lvlJc w:val="left"/>
      <w:pPr>
        <w:ind w:left="3230" w:hanging="2160"/>
      </w:pPr>
    </w:lvl>
    <w:lvl w:ilvl="6">
      <w:start w:val="1"/>
      <w:numFmt w:val="decimal"/>
      <w:lvlText w:val="%1.%2.%3.%4.%5.%6.%7."/>
      <w:lvlJc w:val="left"/>
      <w:pPr>
        <w:ind w:left="3444" w:hanging="2160"/>
      </w:pPr>
    </w:lvl>
    <w:lvl w:ilvl="7">
      <w:start w:val="1"/>
      <w:numFmt w:val="decimal"/>
      <w:lvlText w:val="%1.%2.%3.%4.%5.%6.%7.%8."/>
      <w:lvlJc w:val="left"/>
      <w:pPr>
        <w:ind w:left="4018" w:hanging="2520"/>
      </w:pPr>
    </w:lvl>
    <w:lvl w:ilvl="8">
      <w:start w:val="1"/>
      <w:numFmt w:val="decimal"/>
      <w:lvlText w:val="%1.%2.%3.%4.%5.%6.%7.%8.%9."/>
      <w:lvlJc w:val="left"/>
      <w:pPr>
        <w:ind w:left="4592" w:hanging="2880"/>
      </w:pPr>
    </w:lvl>
  </w:abstractNum>
  <w:abstractNum w:abstractNumId="1" w15:restartNumberingAfterBreak="0">
    <w:nsid w:val="72334FF7"/>
    <w:multiLevelType w:val="multilevel"/>
    <w:tmpl w:val="192AD874"/>
    <w:lvl w:ilvl="0">
      <w:start w:val="1"/>
      <w:numFmt w:val="decimal"/>
      <w:lvlText w:val="%1."/>
      <w:lvlJc w:val="left"/>
      <w:pPr>
        <w:ind w:left="4329" w:hanging="360"/>
      </w:pPr>
      <w:rPr>
        <w:rFonts w:ascii="Carlito" w:eastAsia="Carlito" w:hAnsi="Carlito" w:cs="Carlito"/>
        <w:b/>
        <w:sz w:val="22"/>
        <w:szCs w:val="22"/>
      </w:rPr>
    </w:lvl>
    <w:lvl w:ilvl="1">
      <w:start w:val="1"/>
      <w:numFmt w:val="bullet"/>
      <w:lvlText w:val="●"/>
      <w:lvlJc w:val="left"/>
      <w:pPr>
        <w:ind w:left="5049" w:hanging="360"/>
      </w:pPr>
      <w:rPr>
        <w:rFonts w:ascii="Carlito" w:eastAsia="Carlito" w:hAnsi="Carlito" w:cs="Carlito"/>
        <w:sz w:val="22"/>
        <w:szCs w:val="22"/>
      </w:rPr>
    </w:lvl>
    <w:lvl w:ilvl="2">
      <w:start w:val="1"/>
      <w:numFmt w:val="bullet"/>
      <w:lvlText w:val="•"/>
      <w:lvlJc w:val="left"/>
      <w:pPr>
        <w:ind w:left="5991" w:hanging="360"/>
      </w:pPr>
    </w:lvl>
    <w:lvl w:ilvl="3">
      <w:start w:val="1"/>
      <w:numFmt w:val="bullet"/>
      <w:lvlText w:val="•"/>
      <w:lvlJc w:val="left"/>
      <w:pPr>
        <w:ind w:left="6934" w:hanging="360"/>
      </w:pPr>
    </w:lvl>
    <w:lvl w:ilvl="4">
      <w:start w:val="1"/>
      <w:numFmt w:val="bullet"/>
      <w:lvlText w:val="•"/>
      <w:lvlJc w:val="left"/>
      <w:pPr>
        <w:ind w:left="7877" w:hanging="360"/>
      </w:pPr>
    </w:lvl>
    <w:lvl w:ilvl="5">
      <w:start w:val="1"/>
      <w:numFmt w:val="bullet"/>
      <w:lvlText w:val="•"/>
      <w:lvlJc w:val="left"/>
      <w:pPr>
        <w:ind w:left="8820" w:hanging="360"/>
      </w:pPr>
    </w:lvl>
    <w:lvl w:ilvl="6">
      <w:start w:val="1"/>
      <w:numFmt w:val="bullet"/>
      <w:lvlText w:val="•"/>
      <w:lvlJc w:val="left"/>
      <w:pPr>
        <w:ind w:left="9763" w:hanging="360"/>
      </w:pPr>
    </w:lvl>
    <w:lvl w:ilvl="7">
      <w:start w:val="1"/>
      <w:numFmt w:val="bullet"/>
      <w:lvlText w:val="•"/>
      <w:lvlJc w:val="left"/>
      <w:pPr>
        <w:ind w:left="10706" w:hanging="360"/>
      </w:pPr>
    </w:lvl>
    <w:lvl w:ilvl="8">
      <w:start w:val="1"/>
      <w:numFmt w:val="bullet"/>
      <w:lvlText w:val="•"/>
      <w:lvlJc w:val="left"/>
      <w:pPr>
        <w:ind w:left="11649" w:hanging="360"/>
      </w:pPr>
    </w:lvl>
  </w:abstractNum>
  <w:num w:numId="1" w16cid:durableId="1467507379">
    <w:abstractNumId w:val="1"/>
  </w:num>
  <w:num w:numId="2" w16cid:durableId="2113043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6B5"/>
    <w:rsid w:val="002656B5"/>
    <w:rsid w:val="00791D14"/>
    <w:rsid w:val="00B40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7515"/>
  <w15:docId w15:val="{03550CC0-4780-44E8-9FB0-121D0137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rlito" w:eastAsia="Carlito" w:hAnsi="Carlito" w:cs="Carlito"/>
        <w:sz w:val="22"/>
        <w:szCs w:val="22"/>
        <w:lang w:val="lt-LT"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19"/>
      <w:ind w:left="476"/>
      <w:outlineLvl w:val="0"/>
    </w:pPr>
    <w:rPr>
      <w:rFonts w:ascii="Caladea" w:eastAsia="Caladea" w:hAnsi="Caladea" w:cs="Caladea"/>
      <w:sz w:val="28"/>
      <w:szCs w:val="28"/>
    </w:rPr>
  </w:style>
  <w:style w:type="paragraph" w:styleId="Heading2">
    <w:name w:val="heading 2"/>
    <w:basedOn w:val="Normal"/>
    <w:uiPriority w:val="9"/>
    <w:semiHidden/>
    <w:unhideWhenUsed/>
    <w:qFormat/>
    <w:pPr>
      <w:spacing w:line="267" w:lineRule="exact"/>
      <w:ind w:left="463"/>
      <w:jc w:val="both"/>
      <w:outlineLvl w:val="1"/>
    </w:pPr>
    <w:rPr>
      <w:b/>
      <w:b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20"/>
      <w:ind w:left="2237" w:right="2057" w:hanging="550"/>
    </w:pPr>
    <w:rPr>
      <w:b/>
      <w:bCs/>
      <w:sz w:val="40"/>
      <w:szCs w:val="40"/>
    </w:rPr>
  </w:style>
  <w:style w:type="paragraph" w:styleId="BodyText">
    <w:name w:val="Body Text"/>
    <w:basedOn w:val="Normal"/>
    <w:uiPriority w:val="1"/>
    <w:qFormat/>
    <w:pPr>
      <w:ind w:left="1196" w:hanging="360"/>
    </w:pPr>
  </w:style>
  <w:style w:type="paragraph" w:styleId="ListParagraph">
    <w:name w:val="List Paragraph"/>
    <w:basedOn w:val="Normal"/>
    <w:uiPriority w:val="1"/>
    <w:qFormat/>
    <w:pPr>
      <w:ind w:left="119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4C4B"/>
    <w:pPr>
      <w:tabs>
        <w:tab w:val="center" w:pos="4513"/>
        <w:tab w:val="right" w:pos="9026"/>
      </w:tabs>
    </w:pPr>
  </w:style>
  <w:style w:type="character" w:customStyle="1" w:styleId="HeaderChar">
    <w:name w:val="Header Char"/>
    <w:basedOn w:val="DefaultParagraphFont"/>
    <w:link w:val="Header"/>
    <w:uiPriority w:val="99"/>
    <w:rsid w:val="00764C4B"/>
    <w:rPr>
      <w:rFonts w:ascii="Carlito" w:eastAsia="Carlito" w:hAnsi="Carlito" w:cs="Carlito"/>
      <w:lang w:val="lt-LT"/>
    </w:rPr>
  </w:style>
  <w:style w:type="paragraph" w:styleId="Footer">
    <w:name w:val="footer"/>
    <w:basedOn w:val="Normal"/>
    <w:link w:val="FooterChar"/>
    <w:uiPriority w:val="99"/>
    <w:unhideWhenUsed/>
    <w:rsid w:val="00764C4B"/>
    <w:pPr>
      <w:tabs>
        <w:tab w:val="center" w:pos="4513"/>
        <w:tab w:val="right" w:pos="9026"/>
      </w:tabs>
    </w:pPr>
  </w:style>
  <w:style w:type="character" w:customStyle="1" w:styleId="FooterChar">
    <w:name w:val="Footer Char"/>
    <w:basedOn w:val="DefaultParagraphFont"/>
    <w:link w:val="Footer"/>
    <w:uiPriority w:val="99"/>
    <w:rsid w:val="00764C4B"/>
    <w:rPr>
      <w:rFonts w:ascii="Carlito" w:eastAsia="Carlito" w:hAnsi="Carlito" w:cs="Carlito"/>
      <w:lang w:val="lt-L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M40o5FYiMHVzycGolmxq25wHSw==">AMUW2mUnsv75w+ylbhlUruOGYOvmbXd8E52u+zSYohIXxW6YjVB1GKz7REcMFVgUVAY5PmLoBF8XETKqjpAdXwK0DZ88eXYEswidRVMYcDfL2L/UGmpjnNLVa4ncP1wZEhCjSXZy92z7s1KVJrjtHUbEGOxqYb7L1RAYXxmqVMWyRbdl9l63P7g=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935</Words>
  <Characters>5332</Characters>
  <Application>Microsoft Office Word</Application>
  <DocSecurity>0</DocSecurity>
  <Lines>44</Lines>
  <Paragraphs>12</Paragraphs>
  <ScaleCrop>false</ScaleCrop>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vaiva</dc:creator>
  <cp:lastModifiedBy>John Mason</cp:lastModifiedBy>
  <cp:revision>2</cp:revision>
  <dcterms:created xsi:type="dcterms:W3CDTF">2021-12-13T10:09:00Z</dcterms:created>
  <dcterms:modified xsi:type="dcterms:W3CDTF">2023-03-17T14:53:00Z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2021-12-13T00:00:00Z</vt:filetime>
  </property>
</Properties>
</file>